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6F9" w:rsidRPr="008346F9" w:rsidRDefault="008346F9" w:rsidP="00635559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 w:rsidRPr="008346F9">
        <w:rPr>
          <w:rFonts w:asciiTheme="majorHAnsi" w:hAnsiTheme="majorHAnsi"/>
          <w:b/>
          <w:sz w:val="32"/>
          <w:szCs w:val="32"/>
        </w:rPr>
        <w:t xml:space="preserve">Curso de Especialização em </w:t>
      </w:r>
    </w:p>
    <w:p w:rsidR="008346F9" w:rsidRPr="008346F9" w:rsidRDefault="008346F9" w:rsidP="008346F9">
      <w:pPr>
        <w:jc w:val="center"/>
        <w:rPr>
          <w:rFonts w:asciiTheme="majorHAnsi" w:hAnsiTheme="majorHAnsi"/>
          <w:b/>
          <w:sz w:val="32"/>
          <w:szCs w:val="32"/>
        </w:rPr>
      </w:pPr>
      <w:r w:rsidRPr="008346F9">
        <w:rPr>
          <w:rFonts w:asciiTheme="majorHAnsi" w:hAnsiTheme="majorHAnsi"/>
          <w:b/>
          <w:sz w:val="32"/>
          <w:szCs w:val="32"/>
        </w:rPr>
        <w:t>Direito Tributário</w:t>
      </w:r>
    </w:p>
    <w:p w:rsidR="008346F9" w:rsidRPr="008346F9" w:rsidRDefault="008346F9" w:rsidP="008346F9">
      <w:pPr>
        <w:jc w:val="center"/>
        <w:rPr>
          <w:rFonts w:asciiTheme="majorHAnsi" w:hAnsiTheme="majorHAnsi"/>
          <w:b/>
          <w:sz w:val="32"/>
          <w:szCs w:val="32"/>
        </w:rPr>
      </w:pPr>
      <w:r w:rsidRPr="008346F9">
        <w:rPr>
          <w:rFonts w:asciiTheme="majorHAnsi" w:hAnsiTheme="majorHAnsi"/>
          <w:b/>
          <w:sz w:val="32"/>
          <w:szCs w:val="32"/>
        </w:rPr>
        <w:t>(IBET)</w:t>
      </w:r>
    </w:p>
    <w:p w:rsidR="008346F9" w:rsidRDefault="008346F9" w:rsidP="008346F9">
      <w:pPr>
        <w:jc w:val="center"/>
        <w:rPr>
          <w:rFonts w:asciiTheme="majorHAnsi" w:hAnsiTheme="majorHAnsi"/>
          <w:sz w:val="32"/>
          <w:szCs w:val="32"/>
        </w:rPr>
      </w:pPr>
    </w:p>
    <w:p w:rsidR="001D700C" w:rsidRDefault="001D700C" w:rsidP="008346F9">
      <w:pPr>
        <w:jc w:val="center"/>
        <w:rPr>
          <w:rFonts w:asciiTheme="majorHAnsi" w:hAnsiTheme="majorHAnsi"/>
          <w:sz w:val="32"/>
          <w:szCs w:val="32"/>
        </w:rPr>
      </w:pPr>
    </w:p>
    <w:tbl>
      <w:tblPr>
        <w:tblW w:w="0" w:type="auto"/>
        <w:tblInd w:w="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5"/>
      </w:tblGrid>
      <w:tr w:rsidR="001D5E53" w:rsidTr="001D5E53">
        <w:trPr>
          <w:trHeight w:val="3930"/>
        </w:trPr>
        <w:tc>
          <w:tcPr>
            <w:tcW w:w="7005" w:type="dxa"/>
          </w:tcPr>
          <w:p w:rsidR="001D5E53" w:rsidRDefault="001D5E53" w:rsidP="001D5E53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  <w:p w:rsidR="001D5E53" w:rsidRDefault="001D5E53" w:rsidP="001D5E53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  <w:p w:rsidR="000A1F4E" w:rsidRDefault="000A1F4E" w:rsidP="001D5E53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  <w:p w:rsidR="001D5E53" w:rsidRPr="001D5E53" w:rsidRDefault="00FE492B" w:rsidP="001D5E53">
            <w:pPr>
              <w:jc w:val="center"/>
              <w:rPr>
                <w:rFonts w:asciiTheme="majorHAnsi" w:hAnsiTheme="majorHAnsi"/>
                <w:b/>
                <w:sz w:val="32"/>
                <w:szCs w:val="32"/>
                <w:u w:val="single"/>
              </w:rPr>
            </w:pPr>
            <w:r>
              <w:rPr>
                <w:rFonts w:asciiTheme="majorHAnsi" w:hAnsiTheme="majorHAnsi"/>
                <w:b/>
                <w:sz w:val="32"/>
                <w:szCs w:val="32"/>
                <w:u w:val="single"/>
              </w:rPr>
              <w:t xml:space="preserve">SEMINÁRIO </w:t>
            </w:r>
            <w:r w:rsidR="00211EDE">
              <w:rPr>
                <w:rFonts w:asciiTheme="majorHAnsi" w:hAnsiTheme="majorHAnsi"/>
                <w:b/>
                <w:sz w:val="32"/>
                <w:szCs w:val="32"/>
                <w:u w:val="single"/>
              </w:rPr>
              <w:t>I</w:t>
            </w:r>
            <w:r w:rsidR="000E6418">
              <w:rPr>
                <w:rFonts w:asciiTheme="majorHAnsi" w:hAnsiTheme="majorHAnsi"/>
                <w:b/>
                <w:sz w:val="32"/>
                <w:szCs w:val="32"/>
                <w:u w:val="single"/>
              </w:rPr>
              <w:t>I</w:t>
            </w:r>
            <w:r w:rsidR="00CE4BE4">
              <w:rPr>
                <w:rFonts w:asciiTheme="majorHAnsi" w:hAnsiTheme="majorHAnsi"/>
                <w:b/>
                <w:sz w:val="32"/>
                <w:szCs w:val="32"/>
                <w:u w:val="single"/>
              </w:rPr>
              <w:t>I</w:t>
            </w:r>
          </w:p>
          <w:p w:rsidR="001D5E53" w:rsidRDefault="001D5E53" w:rsidP="001D5E53">
            <w:pPr>
              <w:jc w:val="center"/>
              <w:rPr>
                <w:rFonts w:asciiTheme="majorHAnsi" w:hAnsiTheme="majorHAnsi"/>
                <w:sz w:val="32"/>
                <w:szCs w:val="32"/>
                <w:u w:val="single"/>
              </w:rPr>
            </w:pPr>
          </w:p>
          <w:p w:rsidR="003A4999" w:rsidRDefault="003A4999" w:rsidP="001D5E53">
            <w:pPr>
              <w:jc w:val="center"/>
              <w:rPr>
                <w:rFonts w:asciiTheme="majorHAnsi" w:hAnsiTheme="majorHAnsi"/>
                <w:sz w:val="32"/>
                <w:szCs w:val="32"/>
                <w:u w:val="single"/>
              </w:rPr>
            </w:pPr>
          </w:p>
          <w:p w:rsidR="000A1F4E" w:rsidRDefault="000A1F4E" w:rsidP="001D5E53">
            <w:pPr>
              <w:jc w:val="center"/>
              <w:rPr>
                <w:rFonts w:asciiTheme="majorHAnsi" w:hAnsiTheme="majorHAnsi"/>
                <w:sz w:val="32"/>
                <w:szCs w:val="32"/>
                <w:u w:val="single"/>
              </w:rPr>
            </w:pPr>
          </w:p>
          <w:p w:rsidR="0040154F" w:rsidRDefault="000E6418" w:rsidP="000E6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-BoldMT" w:hAnsi="Arial-BoldMT" w:cs="Arial-BoldMT"/>
                <w:b/>
                <w:bCs/>
                <w:sz w:val="32"/>
                <w:szCs w:val="32"/>
              </w:rPr>
            </w:pPr>
            <w:r w:rsidRPr="00967F48">
              <w:rPr>
                <w:rFonts w:ascii="Arial-BoldMT" w:hAnsi="Arial-BoldMT" w:cs="Arial-BoldMT"/>
                <w:b/>
                <w:bCs/>
                <w:sz w:val="32"/>
                <w:szCs w:val="32"/>
              </w:rPr>
              <w:t>AÇÕES TRIBUTÁRIAS: DECLARATÓRIA, ANULATÓRIA,</w:t>
            </w:r>
            <w:r>
              <w:rPr>
                <w:rFonts w:ascii="Arial-BoldMT" w:hAnsi="Arial-BoldMT" w:cs="Arial-BoldMT"/>
                <w:b/>
                <w:bCs/>
                <w:sz w:val="32"/>
                <w:szCs w:val="32"/>
              </w:rPr>
              <w:t xml:space="preserve"> </w:t>
            </w:r>
            <w:r w:rsidRPr="00967F48">
              <w:rPr>
                <w:rFonts w:ascii="Arial-BoldMT" w:hAnsi="Arial-BoldMT" w:cs="Arial-BoldMT"/>
                <w:b/>
                <w:bCs/>
                <w:sz w:val="32"/>
                <w:szCs w:val="32"/>
              </w:rPr>
              <w:t>CONSIGNAÇÃO EM PAGAMENTO, EMBARGOS À</w:t>
            </w:r>
            <w:r>
              <w:rPr>
                <w:rFonts w:ascii="Arial-BoldMT" w:hAnsi="Arial-BoldMT" w:cs="Arial-BoldMT"/>
                <w:b/>
                <w:bCs/>
                <w:sz w:val="32"/>
                <w:szCs w:val="32"/>
              </w:rPr>
              <w:t xml:space="preserve"> </w:t>
            </w:r>
            <w:r w:rsidRPr="00967F48">
              <w:rPr>
                <w:rFonts w:ascii="Arial-BoldMT" w:hAnsi="Arial-BoldMT" w:cs="Arial-BoldMT"/>
                <w:b/>
                <w:bCs/>
                <w:sz w:val="32"/>
                <w:szCs w:val="32"/>
              </w:rPr>
              <w:t>EXECUÇÃO E EXCEÇÃO DE PRÉ-EXECUTIVIDADE</w:t>
            </w:r>
            <w:r>
              <w:rPr>
                <w:rFonts w:ascii="Arial-BoldMT" w:hAnsi="Arial-BoldMT" w:cs="Arial-BoldMT"/>
                <w:b/>
                <w:bCs/>
                <w:sz w:val="32"/>
                <w:szCs w:val="32"/>
              </w:rPr>
              <w:t>.</w:t>
            </w:r>
          </w:p>
          <w:p w:rsidR="000A62DD" w:rsidRDefault="000A62DD" w:rsidP="00FE492B">
            <w:pPr>
              <w:pStyle w:val="seminrio1"/>
              <w:suppressAutoHyphens/>
              <w:spacing w:after="0"/>
              <w:rPr>
                <w:rFonts w:ascii="Arial" w:hAnsi="Arial" w:cs="Arial"/>
                <w:u w:val="single"/>
              </w:rPr>
            </w:pPr>
          </w:p>
          <w:p w:rsidR="003A4999" w:rsidRDefault="003A4999" w:rsidP="00FE492B">
            <w:pPr>
              <w:pStyle w:val="seminrio1"/>
              <w:suppressAutoHyphens/>
              <w:spacing w:after="0"/>
              <w:rPr>
                <w:rFonts w:ascii="Arial" w:hAnsi="Arial" w:cs="Arial"/>
                <w:u w:val="single"/>
              </w:rPr>
            </w:pPr>
          </w:p>
          <w:p w:rsidR="003A4999" w:rsidRDefault="003A4999" w:rsidP="00FE492B">
            <w:pPr>
              <w:pStyle w:val="seminrio1"/>
              <w:suppressAutoHyphens/>
              <w:spacing w:after="0"/>
              <w:rPr>
                <w:rFonts w:ascii="Arial" w:hAnsi="Arial" w:cs="Arial"/>
                <w:u w:val="single"/>
              </w:rPr>
            </w:pPr>
          </w:p>
          <w:p w:rsidR="003A4999" w:rsidRDefault="003A4999" w:rsidP="00FE492B">
            <w:pPr>
              <w:pStyle w:val="seminrio1"/>
              <w:suppressAutoHyphens/>
              <w:spacing w:after="0"/>
              <w:rPr>
                <w:rFonts w:ascii="Arial" w:hAnsi="Arial" w:cs="Arial"/>
                <w:u w:val="single"/>
              </w:rPr>
            </w:pPr>
          </w:p>
          <w:p w:rsidR="00C25245" w:rsidRDefault="00C25245" w:rsidP="00FE492B">
            <w:pPr>
              <w:pStyle w:val="seminrio1"/>
              <w:suppressAutoHyphens/>
              <w:spacing w:after="0"/>
              <w:rPr>
                <w:rFonts w:ascii="Arial" w:hAnsi="Arial" w:cs="Arial"/>
                <w:u w:val="single"/>
              </w:rPr>
            </w:pPr>
          </w:p>
          <w:p w:rsidR="00FE492B" w:rsidRDefault="00FE492B" w:rsidP="00FE492B">
            <w:pPr>
              <w:pStyle w:val="seminrio1"/>
              <w:suppressAutoHyphens/>
              <w:spacing w:after="0"/>
              <w:rPr>
                <w:rFonts w:asciiTheme="majorHAnsi" w:hAnsiTheme="majorHAnsi"/>
              </w:rPr>
            </w:pPr>
          </w:p>
        </w:tc>
      </w:tr>
    </w:tbl>
    <w:p w:rsidR="00FE492B" w:rsidRDefault="00FE492B" w:rsidP="008346F9">
      <w:pPr>
        <w:jc w:val="center"/>
        <w:rPr>
          <w:rFonts w:asciiTheme="majorHAnsi" w:hAnsiTheme="majorHAnsi"/>
          <w:sz w:val="32"/>
          <w:szCs w:val="32"/>
        </w:rPr>
      </w:pPr>
    </w:p>
    <w:p w:rsidR="00FE492B" w:rsidRDefault="00FE492B" w:rsidP="008346F9">
      <w:pPr>
        <w:jc w:val="center"/>
        <w:rPr>
          <w:rFonts w:asciiTheme="majorHAnsi" w:hAnsiTheme="majorHAnsi"/>
          <w:sz w:val="32"/>
          <w:szCs w:val="32"/>
        </w:rPr>
      </w:pPr>
    </w:p>
    <w:p w:rsidR="008346F9" w:rsidRPr="008346F9" w:rsidRDefault="008346F9" w:rsidP="008346F9">
      <w:pPr>
        <w:jc w:val="center"/>
        <w:rPr>
          <w:rFonts w:asciiTheme="majorHAnsi" w:hAnsiTheme="majorHAnsi"/>
          <w:b/>
          <w:sz w:val="32"/>
          <w:szCs w:val="32"/>
        </w:rPr>
      </w:pPr>
      <w:r w:rsidRPr="008346F9">
        <w:rPr>
          <w:rFonts w:asciiTheme="majorHAnsi" w:hAnsiTheme="majorHAnsi"/>
          <w:b/>
          <w:sz w:val="32"/>
          <w:szCs w:val="32"/>
        </w:rPr>
        <w:t>REINALDO PEREIRA DA SILVA</w:t>
      </w:r>
    </w:p>
    <w:p w:rsidR="008346F9" w:rsidRDefault="000E6418" w:rsidP="008346F9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ABRIL</w:t>
      </w:r>
      <w:r w:rsidR="00BD486E">
        <w:rPr>
          <w:rFonts w:asciiTheme="majorHAnsi" w:hAnsiTheme="majorHAnsi"/>
          <w:b/>
          <w:sz w:val="32"/>
          <w:szCs w:val="32"/>
        </w:rPr>
        <w:t>/2017</w:t>
      </w:r>
    </w:p>
    <w:p w:rsidR="006F797F" w:rsidRPr="00604521" w:rsidRDefault="006F797F" w:rsidP="0006450C">
      <w:pPr>
        <w:pStyle w:val="1"/>
        <w:spacing w:before="0" w:after="0"/>
        <w:rPr>
          <w:rFonts w:ascii="Arial" w:hAnsi="Arial" w:cs="Arial"/>
          <w:color w:val="auto"/>
          <w:w w:val="100"/>
          <w:u w:val="single"/>
        </w:rPr>
      </w:pPr>
      <w:r w:rsidRPr="00604521">
        <w:rPr>
          <w:rFonts w:ascii="Arial" w:hAnsi="Arial" w:cs="Arial"/>
          <w:color w:val="auto"/>
          <w:w w:val="100"/>
          <w:u w:val="single"/>
        </w:rPr>
        <w:lastRenderedPageBreak/>
        <w:t>Questões:</w:t>
      </w:r>
    </w:p>
    <w:p w:rsidR="001D700C" w:rsidRPr="00604521" w:rsidRDefault="001D700C" w:rsidP="0006450C">
      <w:pPr>
        <w:pStyle w:val="1"/>
        <w:spacing w:before="0" w:after="0"/>
        <w:rPr>
          <w:rFonts w:ascii="Arial" w:hAnsi="Arial" w:cs="Arial"/>
          <w:color w:val="FF0000"/>
          <w:w w:val="100"/>
          <w:u w:val="single"/>
        </w:rPr>
      </w:pPr>
    </w:p>
    <w:p w:rsidR="000E6418" w:rsidRPr="00967F4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  <w:r w:rsidRPr="00967F48">
        <w:rPr>
          <w:rFonts w:ascii="ArialMT" w:hAnsi="ArialMT" w:cs="ArialMT"/>
          <w:color w:val="FF0000"/>
          <w:sz w:val="24"/>
          <w:szCs w:val="24"/>
        </w:rPr>
        <w:t>1. Quanto à ação declaratória de inexistência de relação jurídica tributária, pergunta</w:t>
      </w:r>
      <w:r>
        <w:rPr>
          <w:rFonts w:ascii="ArialMT" w:hAnsi="ArialMT" w:cs="ArialMT"/>
          <w:color w:val="FF0000"/>
          <w:sz w:val="24"/>
          <w:szCs w:val="24"/>
        </w:rPr>
        <w:t>-</w:t>
      </w:r>
      <w:r w:rsidRPr="00967F48">
        <w:rPr>
          <w:rFonts w:ascii="ArialMT" w:hAnsi="ArialMT" w:cs="ArialMT"/>
          <w:color w:val="FF0000"/>
          <w:sz w:val="24"/>
          <w:szCs w:val="24"/>
        </w:rPr>
        <w:t>se:</w:t>
      </w:r>
    </w:p>
    <w:p w:rsidR="000E6418" w:rsidRPr="00967F4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</w:p>
    <w:p w:rsidR="000E6418" w:rsidRPr="00967F4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  <w:r w:rsidRPr="00967F48">
        <w:rPr>
          <w:rFonts w:ascii="ArialMT" w:hAnsi="ArialMT" w:cs="ArialMT"/>
          <w:color w:val="FF0000"/>
          <w:sz w:val="24"/>
          <w:szCs w:val="24"/>
        </w:rPr>
        <w:t>a) Quando nasce o interesse processual para sua propositura? O manejo do referido instrumento processual em momento anterior à constituição do crédito</w:t>
      </w:r>
    </w:p>
    <w:p w:rsidR="000E6418" w:rsidRPr="00967F4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  <w:r w:rsidRPr="00967F48">
        <w:rPr>
          <w:rFonts w:ascii="ArialMT" w:hAnsi="ArialMT" w:cs="ArialMT"/>
          <w:color w:val="FF0000"/>
          <w:sz w:val="24"/>
          <w:szCs w:val="24"/>
        </w:rPr>
        <w:t>configura necessariamente questionamento de “lei em tese”?</w:t>
      </w:r>
    </w:p>
    <w:p w:rsidR="000E641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792780">
        <w:rPr>
          <w:rFonts w:ascii="Arial" w:hAnsi="Arial" w:cs="Arial"/>
          <w:b/>
          <w:sz w:val="24"/>
        </w:rPr>
        <w:t>R.</w:t>
      </w:r>
    </w:p>
    <w:p w:rsidR="001E411E" w:rsidRDefault="001E411E" w:rsidP="001E41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1E411E" w:rsidRDefault="001E411E" w:rsidP="001E41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 acordo com novo </w:t>
      </w:r>
      <w:r w:rsidRPr="00CB51C5">
        <w:rPr>
          <w:rFonts w:ascii="Arial" w:hAnsi="Arial" w:cs="Arial"/>
          <w:sz w:val="24"/>
        </w:rPr>
        <w:t>Código de Processo Civil</w:t>
      </w:r>
      <w:r>
        <w:rPr>
          <w:rFonts w:ascii="Arial" w:hAnsi="Arial" w:cs="Arial"/>
          <w:sz w:val="24"/>
        </w:rPr>
        <w:t xml:space="preserve">, art. 19, inciso I, </w:t>
      </w:r>
      <w:r w:rsidRPr="00CB51C5">
        <w:rPr>
          <w:rFonts w:ascii="Arial" w:hAnsi="Arial" w:cs="Arial"/>
          <w:sz w:val="24"/>
        </w:rPr>
        <w:t>a ação declaratória tem dupla</w:t>
      </w:r>
      <w:r>
        <w:rPr>
          <w:rFonts w:ascii="Arial" w:hAnsi="Arial" w:cs="Arial"/>
          <w:sz w:val="24"/>
        </w:rPr>
        <w:t xml:space="preserve"> </w:t>
      </w:r>
      <w:r w:rsidRPr="00CB51C5">
        <w:rPr>
          <w:rFonts w:ascii="Arial" w:hAnsi="Arial" w:cs="Arial"/>
          <w:sz w:val="24"/>
        </w:rPr>
        <w:t>f</w:t>
      </w:r>
      <w:r>
        <w:rPr>
          <w:rFonts w:ascii="Arial" w:hAnsi="Arial" w:cs="Arial"/>
          <w:sz w:val="24"/>
        </w:rPr>
        <w:t>unção</w:t>
      </w:r>
      <w:r w:rsidRPr="00CB51C5">
        <w:rPr>
          <w:rFonts w:ascii="Arial" w:hAnsi="Arial" w:cs="Arial"/>
          <w:sz w:val="24"/>
        </w:rPr>
        <w:t>: obter a declaração de existência ou de inexistência</w:t>
      </w:r>
      <w:r>
        <w:rPr>
          <w:rFonts w:ascii="Arial" w:hAnsi="Arial" w:cs="Arial"/>
          <w:sz w:val="24"/>
        </w:rPr>
        <w:t xml:space="preserve"> ou do modo de ser</w:t>
      </w:r>
      <w:r w:rsidRPr="00CB51C5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 xml:space="preserve">uma </w:t>
      </w:r>
      <w:r w:rsidRPr="00CB51C5">
        <w:rPr>
          <w:rFonts w:ascii="Arial" w:hAnsi="Arial" w:cs="Arial"/>
          <w:sz w:val="24"/>
        </w:rPr>
        <w:t>relação jurídica.</w:t>
      </w:r>
    </w:p>
    <w:p w:rsidR="001E411E" w:rsidRDefault="001E411E" w:rsidP="001E41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CB51C5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A propositura da ação declaratória deve se dar</w:t>
      </w:r>
      <w:r w:rsidRPr="00CB51C5">
        <w:rPr>
          <w:rFonts w:ascii="Arial" w:hAnsi="Arial" w:cs="Arial"/>
          <w:sz w:val="24"/>
        </w:rPr>
        <w:t xml:space="preserve"> antes da constituição do crédito tributário</w:t>
      </w:r>
      <w:r>
        <w:rPr>
          <w:rFonts w:ascii="Arial" w:hAnsi="Arial" w:cs="Arial"/>
          <w:sz w:val="24"/>
        </w:rPr>
        <w:t>.</w:t>
      </w:r>
    </w:p>
    <w:p w:rsidR="001E411E" w:rsidRDefault="001E411E" w:rsidP="001E41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CB51C5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Uma vez constituído o crédito pelo fisco,</w:t>
      </w:r>
      <w:r w:rsidRPr="00CB51C5">
        <w:rPr>
          <w:rFonts w:ascii="Arial" w:hAnsi="Arial" w:cs="Arial"/>
          <w:sz w:val="24"/>
        </w:rPr>
        <w:t xml:space="preserve"> a lesão ao sujeito passivo é concreta, </w:t>
      </w:r>
      <w:r>
        <w:rPr>
          <w:rFonts w:ascii="Arial" w:hAnsi="Arial" w:cs="Arial"/>
          <w:sz w:val="24"/>
        </w:rPr>
        <w:t xml:space="preserve">dado que pode ficar </w:t>
      </w:r>
      <w:r w:rsidRPr="00CB51C5">
        <w:rPr>
          <w:rFonts w:ascii="Arial" w:hAnsi="Arial" w:cs="Arial"/>
          <w:sz w:val="24"/>
        </w:rPr>
        <w:t>impossibili</w:t>
      </w:r>
      <w:r>
        <w:rPr>
          <w:rFonts w:ascii="Arial" w:hAnsi="Arial" w:cs="Arial"/>
          <w:sz w:val="24"/>
        </w:rPr>
        <w:t>tado</w:t>
      </w:r>
      <w:r w:rsidRPr="00CB51C5">
        <w:rPr>
          <w:rFonts w:ascii="Arial" w:hAnsi="Arial" w:cs="Arial"/>
          <w:sz w:val="24"/>
        </w:rPr>
        <w:t xml:space="preserve"> de gozar de um benefício fiscal</w:t>
      </w:r>
      <w:r>
        <w:rPr>
          <w:rFonts w:ascii="Arial" w:hAnsi="Arial" w:cs="Arial"/>
          <w:sz w:val="24"/>
        </w:rPr>
        <w:t xml:space="preserve"> que</w:t>
      </w:r>
      <w:r w:rsidRPr="00CB51C5">
        <w:rPr>
          <w:rFonts w:ascii="Arial" w:hAnsi="Arial" w:cs="Arial"/>
          <w:sz w:val="24"/>
        </w:rPr>
        <w:t xml:space="preserve"> entende ter direito </w:t>
      </w:r>
      <w:r>
        <w:rPr>
          <w:rFonts w:ascii="Arial" w:hAnsi="Arial" w:cs="Arial"/>
          <w:sz w:val="24"/>
        </w:rPr>
        <w:t>ou</w:t>
      </w:r>
      <w:r w:rsidRPr="00CB51C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ainda </w:t>
      </w:r>
      <w:r w:rsidRPr="00CB51C5">
        <w:rPr>
          <w:rFonts w:ascii="Arial" w:hAnsi="Arial" w:cs="Arial"/>
          <w:sz w:val="24"/>
        </w:rPr>
        <w:t xml:space="preserve">por ser </w:t>
      </w:r>
      <w:r>
        <w:rPr>
          <w:rFonts w:ascii="Arial" w:hAnsi="Arial" w:cs="Arial"/>
          <w:sz w:val="24"/>
        </w:rPr>
        <w:t>tributado</w:t>
      </w:r>
      <w:r w:rsidRPr="00CB51C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que </w:t>
      </w:r>
      <w:r w:rsidRPr="00CB51C5">
        <w:rPr>
          <w:rFonts w:ascii="Arial" w:hAnsi="Arial" w:cs="Arial"/>
          <w:sz w:val="24"/>
        </w:rPr>
        <w:t xml:space="preserve">não concorde. </w:t>
      </w:r>
      <w:r>
        <w:rPr>
          <w:rFonts w:ascii="Arial" w:hAnsi="Arial" w:cs="Arial"/>
          <w:sz w:val="24"/>
        </w:rPr>
        <w:t>Portanto, n</w:t>
      </w:r>
      <w:r w:rsidRPr="00CB51C5">
        <w:rPr>
          <w:rFonts w:ascii="Arial" w:hAnsi="Arial" w:cs="Arial"/>
          <w:sz w:val="24"/>
        </w:rPr>
        <w:t xml:space="preserve">ão </w:t>
      </w:r>
      <w:r>
        <w:rPr>
          <w:rFonts w:ascii="Arial" w:hAnsi="Arial" w:cs="Arial"/>
          <w:sz w:val="24"/>
        </w:rPr>
        <w:t xml:space="preserve">existe o </w:t>
      </w:r>
      <w:r w:rsidRPr="00CB51C5">
        <w:rPr>
          <w:rFonts w:ascii="Arial" w:hAnsi="Arial" w:cs="Arial"/>
          <w:sz w:val="24"/>
        </w:rPr>
        <w:t>questionamento de lei em tese, via aç</w:t>
      </w:r>
      <w:r>
        <w:rPr>
          <w:rFonts w:ascii="Arial" w:hAnsi="Arial" w:cs="Arial"/>
          <w:sz w:val="24"/>
        </w:rPr>
        <w:t>ão declaratória.</w:t>
      </w:r>
    </w:p>
    <w:p w:rsidR="001E411E" w:rsidRDefault="001E411E" w:rsidP="001E41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0E6418" w:rsidRPr="00967F4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</w:p>
    <w:p w:rsidR="000E6418" w:rsidRPr="00967F4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  <w:r w:rsidRPr="00967F48">
        <w:rPr>
          <w:rFonts w:ascii="ArialMT" w:hAnsi="ArialMT" w:cs="ArialMT"/>
          <w:color w:val="FF0000"/>
          <w:sz w:val="24"/>
          <w:szCs w:val="24"/>
        </w:rPr>
        <w:t>b) Há interesse jurídico na sua propositura após a expedição do ato constitutivo do crédito tributário? Em caso afirmativo, quais seriam os efeitos da referida tutela jurisdicional?</w:t>
      </w:r>
    </w:p>
    <w:p w:rsidR="001E411E" w:rsidRDefault="001E411E" w:rsidP="001E411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792780">
        <w:rPr>
          <w:rFonts w:ascii="Arial" w:hAnsi="Arial" w:cs="Arial"/>
          <w:b/>
          <w:sz w:val="24"/>
        </w:rPr>
        <w:t>R.</w:t>
      </w:r>
    </w:p>
    <w:p w:rsidR="001E411E" w:rsidRDefault="001E411E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="009E10A7" w:rsidRPr="00CB51C5">
        <w:rPr>
          <w:rFonts w:ascii="Arial" w:hAnsi="Arial" w:cs="Arial"/>
          <w:sz w:val="24"/>
        </w:rPr>
        <w:t xml:space="preserve"> interesse jurídico </w:t>
      </w:r>
      <w:r>
        <w:rPr>
          <w:rFonts w:ascii="Arial" w:hAnsi="Arial" w:cs="Arial"/>
          <w:sz w:val="24"/>
        </w:rPr>
        <w:t xml:space="preserve">na propositura da ação declaratória sucumbe </w:t>
      </w:r>
      <w:r w:rsidR="009E10A7" w:rsidRPr="00CB51C5">
        <w:rPr>
          <w:rFonts w:ascii="Arial" w:hAnsi="Arial" w:cs="Arial"/>
          <w:sz w:val="24"/>
        </w:rPr>
        <w:t xml:space="preserve">após a expedição do ato constitutivo do crédito tributário, </w:t>
      </w:r>
      <w:r>
        <w:rPr>
          <w:rFonts w:ascii="Arial" w:hAnsi="Arial" w:cs="Arial"/>
          <w:sz w:val="24"/>
        </w:rPr>
        <w:t>dado</w:t>
      </w:r>
      <w:r w:rsidR="009E10A7" w:rsidRPr="00CB51C5">
        <w:rPr>
          <w:rFonts w:ascii="Arial" w:hAnsi="Arial" w:cs="Arial"/>
          <w:sz w:val="24"/>
        </w:rPr>
        <w:t xml:space="preserve"> que ninguém pode propor mera declaração de inexistência de algo que já se consumou de forma concreta</w:t>
      </w:r>
      <w:r>
        <w:rPr>
          <w:rFonts w:ascii="Arial" w:hAnsi="Arial" w:cs="Arial"/>
          <w:sz w:val="24"/>
        </w:rPr>
        <w:t>.</w:t>
      </w:r>
    </w:p>
    <w:p w:rsidR="001E411E" w:rsidRDefault="001E411E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9E10A7" w:rsidRPr="00CB51C5" w:rsidRDefault="001E411E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 efeitos de uma tutela jurisdicional neste caso seria de</w:t>
      </w:r>
      <w:r w:rsidR="009E10A7" w:rsidRPr="00CB51C5">
        <w:rPr>
          <w:rFonts w:ascii="Arial" w:hAnsi="Arial" w:cs="Arial"/>
          <w:sz w:val="24"/>
        </w:rPr>
        <w:t xml:space="preserve"> desconstituição ou de anulação da</w:t>
      </w:r>
      <w:r>
        <w:rPr>
          <w:rFonts w:ascii="Arial" w:hAnsi="Arial" w:cs="Arial"/>
          <w:sz w:val="24"/>
        </w:rPr>
        <w:t xml:space="preserve"> </w:t>
      </w:r>
      <w:r w:rsidR="009E10A7" w:rsidRPr="00CB51C5">
        <w:rPr>
          <w:rFonts w:ascii="Arial" w:hAnsi="Arial" w:cs="Arial"/>
          <w:sz w:val="24"/>
        </w:rPr>
        <w:t>relação já constituída.</w:t>
      </w:r>
    </w:p>
    <w:p w:rsidR="009E10A7" w:rsidRPr="00CB51C5" w:rsidRDefault="009E10A7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4"/>
        </w:rPr>
      </w:pPr>
    </w:p>
    <w:p w:rsidR="000E6418" w:rsidRPr="00967F4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  <w:r w:rsidRPr="00967F48">
        <w:rPr>
          <w:rFonts w:ascii="ArialMT" w:hAnsi="ArialMT" w:cs="ArialMT"/>
          <w:color w:val="FF0000"/>
          <w:sz w:val="24"/>
          <w:szCs w:val="24"/>
        </w:rPr>
        <w:t>2. Quanto à ação anulatória de débito fiscal, pergunta-se:</w:t>
      </w:r>
    </w:p>
    <w:p w:rsidR="000E6418" w:rsidRPr="00967F4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</w:p>
    <w:p w:rsidR="000E6418" w:rsidRPr="00967F4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  <w:r w:rsidRPr="00967F48">
        <w:rPr>
          <w:rFonts w:ascii="ArialMT" w:hAnsi="ArialMT" w:cs="ArialMT"/>
          <w:color w:val="FF0000"/>
          <w:sz w:val="24"/>
          <w:szCs w:val="24"/>
        </w:rPr>
        <w:t>a) É viável a propositura de ação anulatória para desconstituição de relação jurídica constituída pelo próprio contribuinte por meio de DCTF, cujo recolhimento do tributo ainda não tenha ocorrido?</w:t>
      </w:r>
    </w:p>
    <w:p w:rsidR="000E641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792780">
        <w:rPr>
          <w:rFonts w:ascii="Arial" w:hAnsi="Arial" w:cs="Arial"/>
          <w:b/>
          <w:sz w:val="24"/>
        </w:rPr>
        <w:t>R.</w:t>
      </w:r>
    </w:p>
    <w:p w:rsidR="000E6418" w:rsidRPr="009E10A7" w:rsidRDefault="008176D4" w:rsidP="008176D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176D4">
        <w:rPr>
          <w:rFonts w:ascii="Arial" w:hAnsi="Arial" w:cs="Arial"/>
          <w:sz w:val="24"/>
        </w:rPr>
        <w:t xml:space="preserve">O fisco </w:t>
      </w:r>
      <w:r>
        <w:rPr>
          <w:rFonts w:ascii="Arial" w:hAnsi="Arial" w:cs="Arial"/>
          <w:sz w:val="24"/>
        </w:rPr>
        <w:t>através de seus órgãos podem rever decisões administrativas, assim, uma vez que o contribuinte discorde da decisão administrativa ou de eventual recusa de análise de recurso interposto</w:t>
      </w:r>
      <w:r>
        <w:rPr>
          <w:rFonts w:ascii="ArialMT" w:hAnsi="ArialMT" w:cs="ArialMT"/>
          <w:sz w:val="24"/>
          <w:szCs w:val="24"/>
        </w:rPr>
        <w:t xml:space="preserve"> é possível recorrer a esfera </w:t>
      </w:r>
      <w:r w:rsidR="009E10A7" w:rsidRPr="009E10A7">
        <w:rPr>
          <w:rFonts w:ascii="ArialMT" w:hAnsi="ArialMT" w:cs="ArialMT"/>
          <w:sz w:val="24"/>
          <w:szCs w:val="24"/>
        </w:rPr>
        <w:t>judicial, que</w:t>
      </w:r>
      <w:r>
        <w:rPr>
          <w:rFonts w:ascii="ArialMT" w:hAnsi="ArialMT" w:cs="ArialMT"/>
          <w:sz w:val="24"/>
          <w:szCs w:val="24"/>
        </w:rPr>
        <w:t xml:space="preserve"> autoriza</w:t>
      </w:r>
      <w:r w:rsidR="009E10A7" w:rsidRPr="009E10A7">
        <w:rPr>
          <w:rFonts w:ascii="ArialMT" w:hAnsi="ArialMT" w:cs="ArialMT"/>
          <w:sz w:val="24"/>
          <w:szCs w:val="24"/>
        </w:rPr>
        <w:t xml:space="preserve"> o uso de ação anulatória contra lançamento realizado por ele próprio</w:t>
      </w:r>
      <w:r w:rsidR="00727D57">
        <w:rPr>
          <w:rFonts w:ascii="ArialMT" w:hAnsi="ArialMT" w:cs="ArialMT"/>
          <w:sz w:val="24"/>
          <w:szCs w:val="24"/>
        </w:rPr>
        <w:t>, tendo respaldo ainda na Carta Magna no seu art. 5º, Inciso XXXV, que trata d</w:t>
      </w:r>
      <w:r w:rsidR="00523715">
        <w:rPr>
          <w:rFonts w:ascii="ArialMT" w:hAnsi="ArialMT" w:cs="ArialMT"/>
          <w:sz w:val="24"/>
          <w:szCs w:val="24"/>
        </w:rPr>
        <w:t>a inafastabilidade do poder jurisdicional</w:t>
      </w:r>
      <w:r w:rsidR="009E10A7" w:rsidRPr="009E10A7">
        <w:rPr>
          <w:rFonts w:ascii="ArialMT" w:hAnsi="ArialMT" w:cs="ArialMT"/>
          <w:sz w:val="24"/>
          <w:szCs w:val="24"/>
        </w:rPr>
        <w:t>.</w:t>
      </w:r>
    </w:p>
    <w:p w:rsidR="009E10A7" w:rsidRPr="009E10A7" w:rsidRDefault="009E10A7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9E10A7" w:rsidRPr="00967F48" w:rsidRDefault="009E10A7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</w:p>
    <w:p w:rsidR="000E6418" w:rsidRPr="00967F4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  <w:r w:rsidRPr="00967F48">
        <w:rPr>
          <w:rFonts w:ascii="ArialMT" w:hAnsi="ArialMT" w:cs="ArialMT"/>
          <w:color w:val="FF0000"/>
          <w:sz w:val="24"/>
          <w:szCs w:val="24"/>
        </w:rPr>
        <w:t>b) Qual o prazo prescricional para a ação anulatória de débito fiscal? É possível</w:t>
      </w:r>
    </w:p>
    <w:p w:rsidR="000E6418" w:rsidRPr="00967F4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  <w:r w:rsidRPr="00967F48">
        <w:rPr>
          <w:rFonts w:ascii="ArialMT" w:hAnsi="ArialMT" w:cs="ArialMT"/>
          <w:color w:val="FF0000"/>
          <w:sz w:val="24"/>
          <w:szCs w:val="24"/>
        </w:rPr>
        <w:lastRenderedPageBreak/>
        <w:t>ingressar com ação anulatória de débito após a propositura da ação executiva fiscal? E após o transcurso do prazo para apresentação dos embargos à execução?</w:t>
      </w:r>
    </w:p>
    <w:p w:rsidR="000E641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792780">
        <w:rPr>
          <w:rFonts w:ascii="Arial" w:hAnsi="Arial" w:cs="Arial"/>
          <w:b/>
          <w:sz w:val="24"/>
        </w:rPr>
        <w:t>R.</w:t>
      </w:r>
    </w:p>
    <w:p w:rsidR="00E44221" w:rsidRPr="00B746B8" w:rsidRDefault="00E44221" w:rsidP="00E442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B746B8">
        <w:rPr>
          <w:rFonts w:ascii="Arial" w:hAnsi="Arial" w:cs="Arial"/>
          <w:sz w:val="24"/>
        </w:rPr>
        <w:t>Quanto a prescrição da Ação Anulatória, temos dois prazos:</w:t>
      </w:r>
    </w:p>
    <w:p w:rsidR="00B746B8" w:rsidRDefault="00B746B8" w:rsidP="00E442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2072DE" w:rsidRPr="002072DE" w:rsidRDefault="00E44221" w:rsidP="00207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B746B8">
        <w:rPr>
          <w:rFonts w:ascii="Arial" w:hAnsi="Arial" w:cs="Arial"/>
          <w:sz w:val="24"/>
        </w:rPr>
        <w:t>a) Em Ação Anulatória, segundo o art. 38 da LEF, que visa desconstituir o lançamento e o auto de infração, será de 5 anos,</w:t>
      </w:r>
      <w:r w:rsidR="00B746B8">
        <w:rPr>
          <w:rFonts w:ascii="Arial" w:hAnsi="Arial" w:cs="Arial"/>
          <w:sz w:val="24"/>
        </w:rPr>
        <w:t xml:space="preserve"> </w:t>
      </w:r>
      <w:r w:rsidRPr="00B746B8">
        <w:rPr>
          <w:rFonts w:ascii="Arial" w:hAnsi="Arial" w:cs="Arial"/>
          <w:sz w:val="24"/>
        </w:rPr>
        <w:t>na forma do Art. 1º do Dec. nº 20.190/32, contados a partir da data da notificação</w:t>
      </w:r>
      <w:r w:rsidR="00B746B8">
        <w:rPr>
          <w:rFonts w:ascii="Arial" w:hAnsi="Arial" w:cs="Arial"/>
          <w:sz w:val="24"/>
        </w:rPr>
        <w:t xml:space="preserve"> </w:t>
      </w:r>
      <w:r w:rsidR="002072DE" w:rsidRPr="002072DE">
        <w:rPr>
          <w:rFonts w:ascii="Arial" w:hAnsi="Arial" w:cs="Arial"/>
          <w:sz w:val="24"/>
        </w:rPr>
        <w:t>do fato ou ato do qual se originarem.</w:t>
      </w:r>
    </w:p>
    <w:p w:rsidR="002072DE" w:rsidRPr="002072DE" w:rsidRDefault="002072DE" w:rsidP="00207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B746B8" w:rsidRDefault="002072DE" w:rsidP="00207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b) Em Ação Anulatória, segundo o art. 169 do CTN, o </w:t>
      </w:r>
      <w:r w:rsidRPr="002072DE">
        <w:rPr>
          <w:rFonts w:ascii="Arial" w:hAnsi="Arial" w:cs="Arial"/>
          <w:sz w:val="24"/>
        </w:rPr>
        <w:t>prazo será de 2 anos, que tem como objeto</w:t>
      </w:r>
      <w:r>
        <w:rPr>
          <w:rFonts w:ascii="Arial" w:hAnsi="Arial" w:cs="Arial"/>
          <w:sz w:val="24"/>
        </w:rPr>
        <w:t xml:space="preserve"> </w:t>
      </w:r>
      <w:r w:rsidRPr="002072DE">
        <w:rPr>
          <w:rFonts w:ascii="Arial" w:hAnsi="Arial" w:cs="Arial"/>
          <w:sz w:val="24"/>
        </w:rPr>
        <w:t>a anulação de decisão administrativa denegatória de restituição de pagamento indevido</w:t>
      </w:r>
      <w:r w:rsidR="006A1087">
        <w:rPr>
          <w:rFonts w:ascii="Arial" w:hAnsi="Arial" w:cs="Arial"/>
          <w:sz w:val="24"/>
        </w:rPr>
        <w:t xml:space="preserve">, sendo </w:t>
      </w:r>
      <w:r w:rsidRPr="002072DE">
        <w:rPr>
          <w:rFonts w:ascii="Arial" w:hAnsi="Arial" w:cs="Arial"/>
          <w:sz w:val="24"/>
        </w:rPr>
        <w:t>conta</w:t>
      </w:r>
      <w:r w:rsidR="006A1087">
        <w:rPr>
          <w:rFonts w:ascii="Arial" w:hAnsi="Arial" w:cs="Arial"/>
          <w:sz w:val="24"/>
        </w:rPr>
        <w:t>da</w:t>
      </w:r>
      <w:r w:rsidRPr="002072DE">
        <w:rPr>
          <w:rFonts w:ascii="Arial" w:hAnsi="Arial" w:cs="Arial"/>
          <w:sz w:val="24"/>
        </w:rPr>
        <w:t xml:space="preserve"> da decisão</w:t>
      </w:r>
      <w:r>
        <w:rPr>
          <w:rFonts w:ascii="Arial" w:hAnsi="Arial" w:cs="Arial"/>
          <w:sz w:val="24"/>
        </w:rPr>
        <w:t xml:space="preserve"> </w:t>
      </w:r>
      <w:r w:rsidRPr="002072DE">
        <w:rPr>
          <w:rFonts w:ascii="Arial" w:hAnsi="Arial" w:cs="Arial"/>
          <w:sz w:val="24"/>
        </w:rPr>
        <w:t>administrativa que denegar a restituição.</w:t>
      </w:r>
    </w:p>
    <w:p w:rsidR="00B746B8" w:rsidRDefault="00B746B8" w:rsidP="009E10A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B746B8" w:rsidRDefault="009235DE" w:rsidP="009235D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9235DE">
        <w:rPr>
          <w:rFonts w:ascii="ArialMT" w:hAnsi="ArialMT" w:cs="ArialMT"/>
          <w:sz w:val="24"/>
          <w:szCs w:val="24"/>
        </w:rPr>
        <w:t>O ajuizamento da Ação Anulatória é direito de ordem constitucional do devedor,</w:t>
      </w:r>
      <w:r>
        <w:rPr>
          <w:rFonts w:ascii="ArialMT" w:hAnsi="ArialMT" w:cs="ArialMT"/>
          <w:sz w:val="24"/>
          <w:szCs w:val="24"/>
        </w:rPr>
        <w:t xml:space="preserve"> </w:t>
      </w:r>
      <w:r w:rsidRPr="009235DE">
        <w:rPr>
          <w:rFonts w:ascii="ArialMT" w:hAnsi="ArialMT" w:cs="ArialMT"/>
          <w:sz w:val="24"/>
          <w:szCs w:val="24"/>
        </w:rPr>
        <w:t>podendo ser exercido antes ou depois da propositura da ação exacional.</w:t>
      </w:r>
    </w:p>
    <w:p w:rsidR="00B746B8" w:rsidRDefault="00B746B8" w:rsidP="009E10A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B746B8" w:rsidRDefault="009235DE" w:rsidP="009235D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9235DE">
        <w:rPr>
          <w:rFonts w:ascii="ArialMT" w:hAnsi="ArialMT" w:cs="ArialMT"/>
          <w:sz w:val="24"/>
          <w:szCs w:val="24"/>
        </w:rPr>
        <w:t>Os embargos à execução não encerram o único meio de insurgência contra a pretensão fiscal na via judicial, podendo serem</w:t>
      </w:r>
      <w:r>
        <w:rPr>
          <w:rFonts w:ascii="ArialMT" w:hAnsi="ArialMT" w:cs="ArialMT"/>
          <w:sz w:val="24"/>
          <w:szCs w:val="24"/>
        </w:rPr>
        <w:t xml:space="preserve"> </w:t>
      </w:r>
      <w:r w:rsidRPr="009235DE">
        <w:rPr>
          <w:rFonts w:ascii="ArialMT" w:hAnsi="ArialMT" w:cs="ArialMT"/>
          <w:sz w:val="24"/>
          <w:szCs w:val="24"/>
        </w:rPr>
        <w:t>propostas ações declaratória e anulatória, dado que o ajuizamento da ação executiva não impede que o devedor exerça o direito</w:t>
      </w:r>
      <w:r>
        <w:rPr>
          <w:rFonts w:ascii="ArialMT" w:hAnsi="ArialMT" w:cs="ArialMT"/>
          <w:sz w:val="24"/>
          <w:szCs w:val="24"/>
        </w:rPr>
        <w:t xml:space="preserve"> </w:t>
      </w:r>
      <w:r w:rsidRPr="009235DE">
        <w:rPr>
          <w:rFonts w:ascii="ArialMT" w:hAnsi="ArialMT" w:cs="ArialMT"/>
          <w:sz w:val="24"/>
          <w:szCs w:val="24"/>
        </w:rPr>
        <w:t>constitucional de ação para ver declarada a nulidade do título ou a inexistência da obrigação, seja por meio de embargos ou ain</w:t>
      </w:r>
      <w:r>
        <w:rPr>
          <w:rFonts w:ascii="ArialMT" w:hAnsi="ArialMT" w:cs="ArialMT"/>
          <w:sz w:val="24"/>
          <w:szCs w:val="24"/>
        </w:rPr>
        <w:t>d</w:t>
      </w:r>
      <w:r w:rsidRPr="009235DE">
        <w:rPr>
          <w:rFonts w:ascii="ArialMT" w:hAnsi="ArialMT" w:cs="ArialMT"/>
          <w:sz w:val="24"/>
          <w:szCs w:val="24"/>
        </w:rPr>
        <w:t>a</w:t>
      </w:r>
      <w:r>
        <w:rPr>
          <w:rFonts w:ascii="ArialMT" w:hAnsi="ArialMT" w:cs="ArialMT"/>
          <w:sz w:val="24"/>
          <w:szCs w:val="24"/>
        </w:rPr>
        <w:t xml:space="preserve"> </w:t>
      </w:r>
      <w:r w:rsidRPr="009235DE">
        <w:rPr>
          <w:rFonts w:ascii="ArialMT" w:hAnsi="ArialMT" w:cs="ArialMT"/>
          <w:sz w:val="24"/>
          <w:szCs w:val="24"/>
        </w:rPr>
        <w:t>por outra ação declaratória ou desconstitutiva.</w:t>
      </w:r>
    </w:p>
    <w:p w:rsidR="00B746B8" w:rsidRDefault="00B746B8" w:rsidP="009E10A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0E6418" w:rsidRPr="00967F4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</w:p>
    <w:p w:rsidR="000E6418" w:rsidRPr="00967F4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  <w:r w:rsidRPr="00967F48">
        <w:rPr>
          <w:rFonts w:ascii="ArialMT" w:hAnsi="ArialMT" w:cs="ArialMT"/>
          <w:color w:val="FF0000"/>
          <w:sz w:val="24"/>
          <w:szCs w:val="24"/>
        </w:rPr>
        <w:t>3. Que relações podem existir entre as ações anulatória de débito, executiva fiscal e embargos à execução: conexão, continência ou prejudicialidade (ou nenhuma das alternativas)? Qual o juízo competente para julgá-las? Deverão ser reunidas?</w:t>
      </w:r>
    </w:p>
    <w:p w:rsidR="000E6418" w:rsidRPr="00967F4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</w:p>
    <w:p w:rsidR="000E6418" w:rsidRPr="00967F4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  <w:r w:rsidRPr="00967F48">
        <w:rPr>
          <w:rFonts w:ascii="ArialMT" w:hAnsi="ArialMT" w:cs="ArialMT"/>
          <w:color w:val="FF0000"/>
          <w:sz w:val="24"/>
          <w:szCs w:val="24"/>
        </w:rPr>
        <w:t>Responder a essa pergunta, indicando a causa de pedir e o pedido de cada uma dessas medidas judiciais. (Vide anexos I e II).</w:t>
      </w:r>
    </w:p>
    <w:p w:rsidR="000E641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792780">
        <w:rPr>
          <w:rFonts w:ascii="Arial" w:hAnsi="Arial" w:cs="Arial"/>
          <w:b/>
          <w:sz w:val="24"/>
        </w:rPr>
        <w:t>R.</w:t>
      </w:r>
    </w:p>
    <w:p w:rsidR="00AF58C9" w:rsidRDefault="00635559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58C9">
        <w:rPr>
          <w:rFonts w:ascii="Arial" w:hAnsi="Arial" w:cs="Arial"/>
          <w:sz w:val="24"/>
          <w:szCs w:val="24"/>
        </w:rPr>
        <w:t xml:space="preserve">O provimento da Ação Anulatória de Indébito Fiscal prejudica a Ação Executiva Fiscal uma vez que o primeiro visa ao cerceamento de uma dívida que a segunda ação visa à cobrança. </w:t>
      </w:r>
    </w:p>
    <w:p w:rsidR="00AF58C9" w:rsidRDefault="00AF58C9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58C9" w:rsidRDefault="00635559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58C9">
        <w:rPr>
          <w:rFonts w:ascii="Arial" w:hAnsi="Arial" w:cs="Arial"/>
          <w:sz w:val="24"/>
          <w:szCs w:val="24"/>
        </w:rPr>
        <w:t xml:space="preserve">O pedido da anulatória é a anulação do lançamento formalizado pelo auto de infração e a causa de pedir é o direito que foi violado. </w:t>
      </w:r>
    </w:p>
    <w:p w:rsidR="00AF58C9" w:rsidRDefault="00AF58C9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5559" w:rsidRPr="00AF58C9" w:rsidRDefault="00AF58C9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</w:t>
      </w:r>
      <w:r w:rsidR="00635559" w:rsidRPr="00AF58C9">
        <w:rPr>
          <w:rFonts w:ascii="Arial" w:hAnsi="Arial" w:cs="Arial"/>
          <w:sz w:val="24"/>
          <w:szCs w:val="24"/>
        </w:rPr>
        <w:t xml:space="preserve"> execução fiscal o pedido é o</w:t>
      </w:r>
      <w:r>
        <w:rPr>
          <w:rFonts w:ascii="Arial" w:hAnsi="Arial" w:cs="Arial"/>
          <w:sz w:val="24"/>
          <w:szCs w:val="24"/>
        </w:rPr>
        <w:t xml:space="preserve"> </w:t>
      </w:r>
      <w:r w:rsidR="00635559" w:rsidRPr="00AF58C9">
        <w:rPr>
          <w:rFonts w:ascii="Arial" w:hAnsi="Arial" w:cs="Arial"/>
          <w:sz w:val="24"/>
          <w:szCs w:val="24"/>
        </w:rPr>
        <w:t>pagamento do valor devido e a causa de pedir é a relação jurídico-tributária constituída pelo lançamento.</w:t>
      </w:r>
    </w:p>
    <w:p w:rsidR="000E6418" w:rsidRPr="00AF58C9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AF58C9" w:rsidRDefault="00635559" w:rsidP="006355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58C9">
        <w:rPr>
          <w:rFonts w:ascii="Arial" w:hAnsi="Arial" w:cs="Arial"/>
          <w:sz w:val="24"/>
          <w:szCs w:val="24"/>
        </w:rPr>
        <w:t>A execução fiscal, não pode ser proposta nos juizados especiais, nem nos juizados especial da</w:t>
      </w:r>
      <w:r w:rsidR="00AF58C9">
        <w:rPr>
          <w:rFonts w:ascii="Arial" w:hAnsi="Arial" w:cs="Arial"/>
          <w:sz w:val="24"/>
          <w:szCs w:val="24"/>
        </w:rPr>
        <w:t xml:space="preserve"> </w:t>
      </w:r>
      <w:r w:rsidR="00272B85">
        <w:rPr>
          <w:rFonts w:ascii="Arial" w:hAnsi="Arial" w:cs="Arial"/>
          <w:sz w:val="24"/>
          <w:szCs w:val="24"/>
        </w:rPr>
        <w:t>fazenda pública estadual, dado que</w:t>
      </w:r>
      <w:r w:rsidRPr="00AF58C9">
        <w:rPr>
          <w:rFonts w:ascii="Arial" w:hAnsi="Arial" w:cs="Arial"/>
          <w:sz w:val="24"/>
          <w:szCs w:val="24"/>
        </w:rPr>
        <w:t xml:space="preserve"> existe vedação expressa no artigo 3°, inciso I da Lei 10.259/2001 e artigo 2° inciso I da Lei 12.153/2009. </w:t>
      </w:r>
    </w:p>
    <w:p w:rsidR="00AF58C9" w:rsidRDefault="00AF58C9" w:rsidP="006355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5559" w:rsidRPr="00AF58C9" w:rsidRDefault="00635559" w:rsidP="00AF58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58C9">
        <w:rPr>
          <w:rFonts w:ascii="Arial" w:hAnsi="Arial" w:cs="Arial"/>
          <w:sz w:val="24"/>
          <w:szCs w:val="24"/>
        </w:rPr>
        <w:lastRenderedPageBreak/>
        <w:t>Portanto, as execuções fiscais são distribuídas ao juiz de direito de uma das varas de execução fiscal ou vara única</w:t>
      </w:r>
      <w:r w:rsidR="00AF58C9">
        <w:rPr>
          <w:rFonts w:ascii="Arial" w:hAnsi="Arial" w:cs="Arial"/>
          <w:sz w:val="24"/>
          <w:szCs w:val="24"/>
        </w:rPr>
        <w:t>.</w:t>
      </w:r>
    </w:p>
    <w:p w:rsidR="00635559" w:rsidRDefault="00635559" w:rsidP="0063555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</w:p>
    <w:p w:rsidR="003279A1" w:rsidRDefault="003279A1" w:rsidP="0063555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</w:t>
      </w:r>
      <w:r w:rsidRPr="003279A1">
        <w:rPr>
          <w:rFonts w:ascii="ArialMT" w:hAnsi="ArialMT" w:cs="ArialMT"/>
          <w:sz w:val="24"/>
          <w:szCs w:val="24"/>
        </w:rPr>
        <w:t xml:space="preserve"> ação anulatória de débito e a execução fiscal tem conexão</w:t>
      </w:r>
      <w:r>
        <w:rPr>
          <w:rFonts w:ascii="ArialMT" w:hAnsi="ArialMT" w:cs="ArialMT"/>
          <w:sz w:val="24"/>
          <w:szCs w:val="24"/>
        </w:rPr>
        <w:t xml:space="preserve">, dado que </w:t>
      </w:r>
      <w:r w:rsidRPr="003279A1">
        <w:rPr>
          <w:rFonts w:ascii="ArialMT" w:hAnsi="ArialMT" w:cs="ArialMT"/>
          <w:sz w:val="24"/>
          <w:szCs w:val="24"/>
        </w:rPr>
        <w:t>a causa de pedir remota</w:t>
      </w:r>
      <w:r>
        <w:rPr>
          <w:rFonts w:ascii="ArialMT" w:hAnsi="ArialMT" w:cs="ArialMT"/>
          <w:sz w:val="24"/>
          <w:szCs w:val="24"/>
        </w:rPr>
        <w:t>, ou seja os f</w:t>
      </w:r>
      <w:r w:rsidRPr="003279A1">
        <w:rPr>
          <w:rFonts w:ascii="ArialMT" w:hAnsi="ArialMT" w:cs="ArialMT"/>
          <w:sz w:val="24"/>
          <w:szCs w:val="24"/>
        </w:rPr>
        <w:t xml:space="preserve">atos jurídicos de ambas as ações é comum, </w:t>
      </w:r>
      <w:r>
        <w:rPr>
          <w:rFonts w:ascii="ArialMT" w:hAnsi="ArialMT" w:cs="ArialMT"/>
          <w:sz w:val="24"/>
          <w:szCs w:val="24"/>
        </w:rPr>
        <w:t>porquanto</w:t>
      </w:r>
      <w:r w:rsidRPr="003279A1">
        <w:rPr>
          <w:rFonts w:ascii="ArialMT" w:hAnsi="ArialMT" w:cs="ArialMT"/>
          <w:sz w:val="24"/>
          <w:szCs w:val="24"/>
        </w:rPr>
        <w:t xml:space="preserve"> a ação anulatória </w:t>
      </w:r>
      <w:r>
        <w:rPr>
          <w:rFonts w:ascii="ArialMT" w:hAnsi="ArialMT" w:cs="ArialMT"/>
          <w:sz w:val="24"/>
          <w:szCs w:val="24"/>
        </w:rPr>
        <w:t xml:space="preserve">e </w:t>
      </w:r>
      <w:r w:rsidRPr="003279A1">
        <w:rPr>
          <w:rFonts w:ascii="ArialMT" w:hAnsi="ArialMT" w:cs="ArialMT"/>
          <w:sz w:val="24"/>
          <w:szCs w:val="24"/>
        </w:rPr>
        <w:t xml:space="preserve">a execução fiscal se fundam na existência de um determinado crédito tributário. </w:t>
      </w:r>
      <w:r>
        <w:rPr>
          <w:rFonts w:ascii="ArialMT" w:hAnsi="ArialMT" w:cs="ArialMT"/>
          <w:sz w:val="24"/>
          <w:szCs w:val="24"/>
        </w:rPr>
        <w:t xml:space="preserve">Constituindo a mesma </w:t>
      </w:r>
      <w:r w:rsidRPr="003279A1">
        <w:rPr>
          <w:rFonts w:ascii="ArialMT" w:hAnsi="ArialMT" w:cs="ArialMT"/>
          <w:sz w:val="24"/>
          <w:szCs w:val="24"/>
        </w:rPr>
        <w:t>causa de pedir remota</w:t>
      </w:r>
      <w:r>
        <w:rPr>
          <w:rFonts w:ascii="ArialMT" w:hAnsi="ArialMT" w:cs="ArialMT"/>
          <w:sz w:val="24"/>
          <w:szCs w:val="24"/>
        </w:rPr>
        <w:t>, que</w:t>
      </w:r>
      <w:r w:rsidRPr="003279A1">
        <w:rPr>
          <w:rFonts w:ascii="ArialMT" w:hAnsi="ArialMT" w:cs="ArialMT"/>
          <w:sz w:val="24"/>
          <w:szCs w:val="24"/>
        </w:rPr>
        <w:t xml:space="preserve"> basta para a conexão das ações</w:t>
      </w:r>
      <w:r>
        <w:rPr>
          <w:rFonts w:ascii="ArialMT" w:hAnsi="ArialMT" w:cs="ArialMT"/>
          <w:sz w:val="24"/>
          <w:szCs w:val="24"/>
        </w:rPr>
        <w:t>.</w:t>
      </w:r>
    </w:p>
    <w:p w:rsidR="003279A1" w:rsidRPr="00A144D7" w:rsidRDefault="003279A1" w:rsidP="0063555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0E6418" w:rsidRPr="00967F4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  <w:r w:rsidRPr="00967F48">
        <w:rPr>
          <w:rFonts w:ascii="ArialMT" w:hAnsi="ArialMT" w:cs="ArialMT"/>
          <w:color w:val="FF0000"/>
          <w:sz w:val="24"/>
          <w:szCs w:val="24"/>
        </w:rPr>
        <w:t>4. Você é procurado pela empresa AZT Foods do Brasil Ltda. em função do seguinte caso que lhe foi colocado por ela:</w:t>
      </w:r>
    </w:p>
    <w:p w:rsidR="000E6418" w:rsidRPr="00967F4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</w:p>
    <w:p w:rsidR="000E6418" w:rsidRPr="00967F4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  <w:r w:rsidRPr="00967F48">
        <w:rPr>
          <w:rFonts w:ascii="ArialMT" w:hAnsi="ArialMT" w:cs="ArialMT"/>
          <w:color w:val="FF0000"/>
          <w:sz w:val="24"/>
          <w:szCs w:val="24"/>
        </w:rPr>
        <w:t>CASO CONCRETO – Em função de sua atividade a e</w:t>
      </w:r>
      <w:r w:rsidR="00B26FBD">
        <w:rPr>
          <w:rFonts w:ascii="ArialMT" w:hAnsi="ArialMT" w:cs="ArialMT"/>
          <w:color w:val="FF0000"/>
          <w:sz w:val="24"/>
          <w:szCs w:val="24"/>
        </w:rPr>
        <w:t>mpresa AZT Foods do Brasil Ltda,</w:t>
      </w:r>
      <w:r w:rsidRPr="00967F48">
        <w:rPr>
          <w:rFonts w:ascii="ArialMT" w:hAnsi="ArialMT" w:cs="ArialMT"/>
          <w:color w:val="FF0000"/>
          <w:sz w:val="24"/>
          <w:szCs w:val="24"/>
        </w:rPr>
        <w:t xml:space="preserve"> está sujeita ao pagamento de determinado tributo pela venda de seu produto.</w:t>
      </w:r>
    </w:p>
    <w:p w:rsidR="000E6418" w:rsidRPr="00967F4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</w:p>
    <w:p w:rsidR="000E6418" w:rsidRPr="00967F4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  <w:r w:rsidRPr="00967F48">
        <w:rPr>
          <w:rFonts w:ascii="ArialMT" w:hAnsi="ArialMT" w:cs="ArialMT"/>
          <w:color w:val="FF0000"/>
          <w:sz w:val="24"/>
          <w:szCs w:val="24"/>
        </w:rPr>
        <w:t>Nos últimos 3 anos, em função de algumas dificuldades financeiras, ela não o</w:t>
      </w:r>
    </w:p>
    <w:p w:rsidR="000E6418" w:rsidRPr="00967F4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  <w:r w:rsidRPr="00967F48">
        <w:rPr>
          <w:rFonts w:ascii="ArialMT" w:hAnsi="ArialMT" w:cs="ArialMT"/>
          <w:color w:val="FF0000"/>
          <w:sz w:val="24"/>
          <w:szCs w:val="24"/>
        </w:rPr>
        <w:t>pagou, pretendendo fazê-lo agora por se encontrar em melhores condições</w:t>
      </w:r>
      <w:r>
        <w:rPr>
          <w:rFonts w:ascii="ArialMT" w:hAnsi="ArialMT" w:cs="ArialMT"/>
          <w:color w:val="FF0000"/>
          <w:sz w:val="24"/>
          <w:szCs w:val="24"/>
        </w:rPr>
        <w:t xml:space="preserve"> </w:t>
      </w:r>
      <w:r w:rsidRPr="00967F48">
        <w:rPr>
          <w:rFonts w:ascii="ArialMT" w:hAnsi="ArialMT" w:cs="ArialMT"/>
          <w:color w:val="FF0000"/>
          <w:sz w:val="24"/>
          <w:szCs w:val="24"/>
        </w:rPr>
        <w:t>financeiras. Contudo, em função do inadimplemento está sujeita a uma multa,</w:t>
      </w:r>
    </w:p>
    <w:p w:rsidR="000E6418" w:rsidRPr="00967F4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  <w:r w:rsidRPr="00967F48">
        <w:rPr>
          <w:rFonts w:ascii="ArialMT" w:hAnsi="ArialMT" w:cs="ArialMT"/>
          <w:color w:val="FF0000"/>
          <w:sz w:val="24"/>
          <w:szCs w:val="24"/>
        </w:rPr>
        <w:t>instituída por ato normativo infralegal, de 45% do valor da operação (venda de seu produto).</w:t>
      </w:r>
    </w:p>
    <w:p w:rsidR="000E6418" w:rsidRPr="00967F4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</w:p>
    <w:p w:rsidR="000E6418" w:rsidRPr="00967F4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  <w:r w:rsidRPr="00967F48">
        <w:rPr>
          <w:rFonts w:ascii="ArialMT" w:hAnsi="ArialMT" w:cs="ArialMT"/>
          <w:color w:val="FF0000"/>
          <w:sz w:val="24"/>
          <w:szCs w:val="24"/>
        </w:rPr>
        <w:t>A AZT solicita um parecer em que você deverá apontar: (a) a estratégia processual (a medida judicial ou medidas judiciais) a ser adotada para a defesa dos seus</w:t>
      </w:r>
      <w:r>
        <w:rPr>
          <w:rFonts w:ascii="ArialMT" w:hAnsi="ArialMT" w:cs="ArialMT"/>
          <w:color w:val="FF0000"/>
          <w:sz w:val="24"/>
          <w:szCs w:val="24"/>
        </w:rPr>
        <w:t xml:space="preserve"> </w:t>
      </w:r>
      <w:r w:rsidRPr="00967F48">
        <w:rPr>
          <w:rFonts w:ascii="ArialMT" w:hAnsi="ArialMT" w:cs="ArialMT"/>
          <w:color w:val="FF0000"/>
          <w:sz w:val="24"/>
          <w:szCs w:val="24"/>
        </w:rPr>
        <w:t>interesses, devendo ser justificada a opção da(s) medida(s), com a indicação do dispositivo de lei que determina o seu cabimento; (b) o(s) fundamento(s) jurídico(s) que poderá(ão) ser(em) utilizado(s) para afastar a exigência dessa multa; (c) o efeito da sentença obtido na ação (ou ações).</w:t>
      </w:r>
    </w:p>
    <w:p w:rsidR="000E641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792780">
        <w:rPr>
          <w:rFonts w:ascii="Arial" w:hAnsi="Arial" w:cs="Arial"/>
          <w:b/>
          <w:sz w:val="24"/>
        </w:rPr>
        <w:t>R.</w:t>
      </w:r>
    </w:p>
    <w:p w:rsidR="00BF4FE9" w:rsidRDefault="00BF4FE9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BF4FE9" w:rsidRDefault="00BF4FE9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24"/>
          <w:szCs w:val="24"/>
        </w:rPr>
      </w:pPr>
      <w:r w:rsidRPr="00BF4FE9">
        <w:rPr>
          <w:rFonts w:ascii="ArialMT" w:hAnsi="ArialMT" w:cs="ArialMT"/>
          <w:b/>
          <w:sz w:val="24"/>
          <w:szCs w:val="24"/>
        </w:rPr>
        <w:t>Parecer nº ...</w:t>
      </w:r>
    </w:p>
    <w:p w:rsidR="00BF4A54" w:rsidRDefault="00BF4A54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24"/>
          <w:szCs w:val="24"/>
        </w:rPr>
      </w:pPr>
    </w:p>
    <w:p w:rsidR="00BF4FE9" w:rsidRDefault="00BF4FE9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24"/>
          <w:szCs w:val="24"/>
        </w:rPr>
      </w:pPr>
      <w:r>
        <w:rPr>
          <w:rFonts w:ascii="ArialMT" w:hAnsi="ArialMT" w:cs="ArialMT"/>
          <w:b/>
          <w:sz w:val="24"/>
          <w:szCs w:val="24"/>
        </w:rPr>
        <w:t>Interessado: AZT Foods do Brasil Ltda</w:t>
      </w:r>
    </w:p>
    <w:p w:rsidR="00BF4A54" w:rsidRDefault="00BF4A54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24"/>
          <w:szCs w:val="24"/>
        </w:rPr>
      </w:pPr>
    </w:p>
    <w:p w:rsidR="00BF4FE9" w:rsidRPr="00BF4FE9" w:rsidRDefault="00BF4FE9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24"/>
          <w:szCs w:val="24"/>
        </w:rPr>
      </w:pPr>
      <w:r>
        <w:rPr>
          <w:rFonts w:ascii="ArialMT" w:hAnsi="ArialMT" w:cs="ArialMT"/>
          <w:b/>
          <w:sz w:val="24"/>
          <w:szCs w:val="24"/>
        </w:rPr>
        <w:t>Assunto: Adoção medida judicial para defesa dos seus interesses junto ao fisco.</w:t>
      </w:r>
    </w:p>
    <w:p w:rsidR="00BF4FE9" w:rsidRDefault="00BF4FE9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</w:p>
    <w:p w:rsidR="00D139B2" w:rsidRPr="0061103B" w:rsidRDefault="00D139B2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24"/>
          <w:szCs w:val="24"/>
        </w:rPr>
      </w:pPr>
      <w:r w:rsidRPr="0061103B">
        <w:rPr>
          <w:rFonts w:ascii="ArialMT" w:hAnsi="ArialMT" w:cs="ArialMT"/>
          <w:b/>
          <w:sz w:val="24"/>
          <w:szCs w:val="24"/>
        </w:rPr>
        <w:t>Relatório: representado aqui pelo enunciado da questão, pass</w:t>
      </w:r>
      <w:r w:rsidR="00BF4A54">
        <w:rPr>
          <w:rFonts w:ascii="ArialMT" w:hAnsi="ArialMT" w:cs="ArialMT"/>
          <w:b/>
          <w:sz w:val="24"/>
          <w:szCs w:val="24"/>
        </w:rPr>
        <w:t>o</w:t>
      </w:r>
      <w:r w:rsidRPr="0061103B">
        <w:rPr>
          <w:rFonts w:ascii="ArialMT" w:hAnsi="ArialMT" w:cs="ArialMT"/>
          <w:b/>
          <w:sz w:val="24"/>
          <w:szCs w:val="24"/>
        </w:rPr>
        <w:t xml:space="preserve"> a opinar:</w:t>
      </w:r>
    </w:p>
    <w:p w:rsidR="00D139B2" w:rsidRPr="0061103B" w:rsidRDefault="00D139B2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24"/>
          <w:szCs w:val="24"/>
        </w:rPr>
      </w:pPr>
    </w:p>
    <w:p w:rsidR="00D139B2" w:rsidRPr="0061103B" w:rsidRDefault="00D139B2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24"/>
          <w:szCs w:val="24"/>
        </w:rPr>
      </w:pPr>
      <w:r w:rsidRPr="0061103B">
        <w:rPr>
          <w:rFonts w:ascii="ArialMT" w:hAnsi="ArialMT" w:cs="ArialMT"/>
          <w:b/>
          <w:sz w:val="24"/>
          <w:szCs w:val="24"/>
        </w:rPr>
        <w:t>Fundamentação:</w:t>
      </w:r>
    </w:p>
    <w:p w:rsidR="00D139B2" w:rsidRPr="00D139B2" w:rsidRDefault="00D139B2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B26FBD" w:rsidRPr="00B26FBD" w:rsidRDefault="00274926" w:rsidP="00B26FB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O Professor </w:t>
      </w:r>
      <w:r w:rsidRPr="00274926">
        <w:rPr>
          <w:rFonts w:ascii="ArialMT" w:hAnsi="ArialMT" w:cs="ArialMT"/>
          <w:sz w:val="24"/>
          <w:szCs w:val="24"/>
        </w:rPr>
        <w:t xml:space="preserve">Leonardo de Andrade Costa, </w:t>
      </w:r>
      <w:r>
        <w:rPr>
          <w:rFonts w:ascii="ArialMT" w:hAnsi="ArialMT" w:cs="ArialMT"/>
          <w:sz w:val="24"/>
          <w:szCs w:val="24"/>
        </w:rPr>
        <w:t>em seu livro “</w:t>
      </w:r>
      <w:r w:rsidRPr="00274926">
        <w:rPr>
          <w:rFonts w:ascii="ArialMT" w:hAnsi="ArialMT" w:cs="ArialMT"/>
          <w:sz w:val="24"/>
          <w:szCs w:val="24"/>
        </w:rPr>
        <w:t>Tributos em espécie</w:t>
      </w:r>
      <w:r>
        <w:rPr>
          <w:rFonts w:ascii="ArialMT" w:hAnsi="ArialMT" w:cs="ArialMT"/>
          <w:sz w:val="24"/>
          <w:szCs w:val="24"/>
        </w:rPr>
        <w:t xml:space="preserve">”, pág. 63, editora FGV, esclarece o </w:t>
      </w:r>
      <w:r w:rsidR="00B26FBD" w:rsidRPr="00B26FBD">
        <w:rPr>
          <w:rFonts w:ascii="ArialMT" w:hAnsi="ArialMT" w:cs="ArialMT"/>
          <w:sz w:val="24"/>
          <w:szCs w:val="24"/>
        </w:rPr>
        <w:t>que difere a obrigação tributária das demais</w:t>
      </w:r>
      <w:r>
        <w:rPr>
          <w:rFonts w:ascii="ArialMT" w:hAnsi="ArialMT" w:cs="ArialMT"/>
          <w:sz w:val="24"/>
          <w:szCs w:val="24"/>
        </w:rPr>
        <w:t>: lecionando</w:t>
      </w:r>
      <w:r w:rsidR="00B26FBD" w:rsidRPr="00B26FBD">
        <w:rPr>
          <w:rFonts w:ascii="ArialMT" w:hAnsi="ArialMT" w:cs="ArialMT"/>
          <w:sz w:val="24"/>
          <w:szCs w:val="24"/>
        </w:rPr>
        <w:t xml:space="preserve"> que esta tem por objeto uma prestação de natureza tributária,</w:t>
      </w:r>
      <w:r w:rsidR="002A7C1E">
        <w:rPr>
          <w:rFonts w:ascii="ArialMT" w:hAnsi="ArialMT" w:cs="ArialMT"/>
          <w:sz w:val="24"/>
          <w:szCs w:val="24"/>
        </w:rPr>
        <w:t xml:space="preserve"> </w:t>
      </w:r>
      <w:r w:rsidR="00B26FBD" w:rsidRPr="00B26FBD">
        <w:rPr>
          <w:rFonts w:ascii="ArialMT" w:hAnsi="ArialMT" w:cs="ArialMT"/>
          <w:sz w:val="24"/>
          <w:szCs w:val="24"/>
        </w:rPr>
        <w:t>que pode assumir a forma de um dar, no caso de obrigação de pagar título ou penalidade pecuniária, ou de fazer</w:t>
      </w:r>
      <w:r w:rsidR="002A7C1E">
        <w:rPr>
          <w:rFonts w:ascii="ArialMT" w:hAnsi="ArialMT" w:cs="ArialMT"/>
          <w:sz w:val="24"/>
          <w:szCs w:val="24"/>
        </w:rPr>
        <w:t xml:space="preserve"> </w:t>
      </w:r>
      <w:r w:rsidR="00B26FBD" w:rsidRPr="00B26FBD">
        <w:rPr>
          <w:rFonts w:ascii="ArialMT" w:hAnsi="ArialMT" w:cs="ArialMT"/>
          <w:sz w:val="24"/>
          <w:szCs w:val="24"/>
        </w:rPr>
        <w:t>ou não fazer alguma coisa, no caso da obriga</w:t>
      </w:r>
      <w:r w:rsidR="00D139B2">
        <w:rPr>
          <w:rFonts w:ascii="ArialMT" w:hAnsi="ArialMT" w:cs="ArialMT"/>
          <w:sz w:val="24"/>
          <w:szCs w:val="24"/>
        </w:rPr>
        <w:t>ç</w:t>
      </w:r>
      <w:r w:rsidR="00B26FBD" w:rsidRPr="00B26FBD">
        <w:rPr>
          <w:rFonts w:ascii="ArialMT" w:hAnsi="ArialMT" w:cs="ArialMT"/>
          <w:sz w:val="24"/>
          <w:szCs w:val="24"/>
        </w:rPr>
        <w:t>ão de cumprimento de deveres instrumentais á cobrança do tributo.</w:t>
      </w:r>
    </w:p>
    <w:p w:rsidR="00B26FBD" w:rsidRPr="00B26FBD" w:rsidRDefault="00B26FBD" w:rsidP="00B26FB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B26FBD" w:rsidRPr="00B26FBD" w:rsidRDefault="00B26FBD" w:rsidP="00B26FB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B26FBD">
        <w:rPr>
          <w:rFonts w:ascii="ArialMT" w:hAnsi="ArialMT" w:cs="ArialMT"/>
          <w:sz w:val="24"/>
          <w:szCs w:val="24"/>
        </w:rPr>
        <w:t xml:space="preserve">O art. 113 do CTN divide a obrigação tributária em principal e acessória. Segundo o parágrafo 1º deste artigo, a obrigação principal surge com a </w:t>
      </w:r>
      <w:r w:rsidRPr="00B26FBD">
        <w:rPr>
          <w:rFonts w:ascii="ArialMT" w:hAnsi="ArialMT" w:cs="ArialMT"/>
          <w:sz w:val="24"/>
          <w:szCs w:val="24"/>
        </w:rPr>
        <w:lastRenderedPageBreak/>
        <w:t>ocorrência</w:t>
      </w:r>
      <w:r w:rsidR="002A7C1E">
        <w:rPr>
          <w:rFonts w:ascii="ArialMT" w:hAnsi="ArialMT" w:cs="ArialMT"/>
          <w:sz w:val="24"/>
          <w:szCs w:val="24"/>
        </w:rPr>
        <w:t xml:space="preserve"> </w:t>
      </w:r>
      <w:r w:rsidRPr="00B26FBD">
        <w:rPr>
          <w:rFonts w:ascii="ArialMT" w:hAnsi="ArialMT" w:cs="ArialMT"/>
          <w:sz w:val="24"/>
          <w:szCs w:val="24"/>
        </w:rPr>
        <w:t xml:space="preserve">do fato gerador, tem por objeto o pagamento de tributo ou penalidade pecuniária e extingue-se juntamente com o crédito dela decorrente. </w:t>
      </w:r>
    </w:p>
    <w:p w:rsidR="002A7C1E" w:rsidRDefault="002A7C1E" w:rsidP="00B26FB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B26FBD" w:rsidRPr="00B26FBD" w:rsidRDefault="00B26FBD" w:rsidP="00B26FB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B26FBD">
        <w:rPr>
          <w:rFonts w:ascii="ArialMT" w:hAnsi="ArialMT" w:cs="ArialMT"/>
          <w:sz w:val="24"/>
          <w:szCs w:val="24"/>
        </w:rPr>
        <w:t>Assim, equiparou o CTN à obrigação principal tanto aquela que tenha por objeto o pagamento de uma penalidade pecuniária.</w:t>
      </w:r>
    </w:p>
    <w:p w:rsidR="00B26FBD" w:rsidRPr="00B26FBD" w:rsidRDefault="00B26FBD" w:rsidP="00B26FB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B26FBD" w:rsidRPr="00B26FBD" w:rsidRDefault="00B26FBD" w:rsidP="00B26FB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B26FBD">
        <w:rPr>
          <w:rFonts w:ascii="ArialMT" w:hAnsi="ArialMT" w:cs="ArialMT"/>
          <w:sz w:val="24"/>
          <w:szCs w:val="24"/>
        </w:rPr>
        <w:t>O requisito escolhido pelo código para classificar, portanto, as obrigações tributárias em principal é o caráter pecuniário ou não da exação.</w:t>
      </w:r>
    </w:p>
    <w:p w:rsidR="00B26FBD" w:rsidRPr="00B26FBD" w:rsidRDefault="00B26FBD" w:rsidP="00B26FB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B26FBD" w:rsidRPr="00B26FBD" w:rsidRDefault="00B26FBD" w:rsidP="00B26FB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B26FBD">
        <w:rPr>
          <w:rFonts w:ascii="ArialMT" w:hAnsi="ArialMT" w:cs="ArialMT"/>
          <w:sz w:val="24"/>
          <w:szCs w:val="24"/>
        </w:rPr>
        <w:t>Assim, sempre que a cobrança envolva a prestação de dinheiro, será ela considerada obrigação principal, mesmo que não diga</w:t>
      </w:r>
      <w:r w:rsidR="002A7C1E">
        <w:rPr>
          <w:rFonts w:ascii="ArialMT" w:hAnsi="ArialMT" w:cs="ArialMT"/>
          <w:sz w:val="24"/>
          <w:szCs w:val="24"/>
        </w:rPr>
        <w:t xml:space="preserve"> </w:t>
      </w:r>
      <w:r w:rsidRPr="00B26FBD">
        <w:rPr>
          <w:rFonts w:ascii="ArialMT" w:hAnsi="ArialMT" w:cs="ArialMT"/>
          <w:sz w:val="24"/>
          <w:szCs w:val="24"/>
        </w:rPr>
        <w:t>somente respeito à exigibilidade do tributo em si. Ou seja, serão consideradas obrigações principais tanto uma prestação cobrada do sujeito</w:t>
      </w:r>
      <w:r w:rsidR="002A7C1E">
        <w:rPr>
          <w:rFonts w:ascii="ArialMT" w:hAnsi="ArialMT" w:cs="ArialMT"/>
          <w:sz w:val="24"/>
          <w:szCs w:val="24"/>
        </w:rPr>
        <w:t xml:space="preserve"> </w:t>
      </w:r>
      <w:r w:rsidRPr="00B26FBD">
        <w:rPr>
          <w:rFonts w:ascii="ArialMT" w:hAnsi="ArialMT" w:cs="ArialMT"/>
          <w:sz w:val="24"/>
          <w:szCs w:val="24"/>
        </w:rPr>
        <w:t>passivo que se refira à cobrança de tributo, quanto outra que diga respeito à cobrança de penalidade pecuniária (multas) pelo</w:t>
      </w:r>
      <w:r w:rsidR="002A7C1E">
        <w:rPr>
          <w:rFonts w:ascii="ArialMT" w:hAnsi="ArialMT" w:cs="ArialMT"/>
          <w:sz w:val="24"/>
          <w:szCs w:val="24"/>
        </w:rPr>
        <w:t xml:space="preserve"> </w:t>
      </w:r>
      <w:r w:rsidRPr="00B26FBD">
        <w:rPr>
          <w:rFonts w:ascii="ArialMT" w:hAnsi="ArialMT" w:cs="ArialMT"/>
          <w:sz w:val="24"/>
          <w:szCs w:val="24"/>
        </w:rPr>
        <w:t>descumprimento de obrigações tributárias.</w:t>
      </w:r>
    </w:p>
    <w:p w:rsidR="00B26FBD" w:rsidRPr="00B26FBD" w:rsidRDefault="00B26FBD" w:rsidP="00B26FB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B26FBD" w:rsidRPr="00B26FBD" w:rsidRDefault="00B26FBD" w:rsidP="00B26FB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B26FBD">
        <w:rPr>
          <w:rFonts w:ascii="ArialMT" w:hAnsi="ArialMT" w:cs="ArialMT"/>
          <w:sz w:val="24"/>
          <w:szCs w:val="24"/>
        </w:rPr>
        <w:t>Já o parágrafo 2º do art. 113 do CTN, define a obrigação acessória como aquela que decorre da legislação tri</w:t>
      </w:r>
      <w:r w:rsidR="00C224A8">
        <w:rPr>
          <w:rFonts w:ascii="ArialMT" w:hAnsi="ArialMT" w:cs="ArialMT"/>
          <w:sz w:val="24"/>
          <w:szCs w:val="24"/>
        </w:rPr>
        <w:t>b</w:t>
      </w:r>
      <w:r w:rsidRPr="00B26FBD">
        <w:rPr>
          <w:rFonts w:ascii="ArialMT" w:hAnsi="ArialMT" w:cs="ArialMT"/>
          <w:sz w:val="24"/>
          <w:szCs w:val="24"/>
        </w:rPr>
        <w:t>utária e tem por objeto as prestações,</w:t>
      </w:r>
      <w:r w:rsidR="002A7C1E">
        <w:rPr>
          <w:rFonts w:ascii="ArialMT" w:hAnsi="ArialMT" w:cs="ArialMT"/>
          <w:sz w:val="24"/>
          <w:szCs w:val="24"/>
        </w:rPr>
        <w:t xml:space="preserve"> </w:t>
      </w:r>
      <w:r w:rsidRPr="00B26FBD">
        <w:rPr>
          <w:rFonts w:ascii="ArialMT" w:hAnsi="ArialMT" w:cs="ArialMT"/>
          <w:sz w:val="24"/>
          <w:szCs w:val="24"/>
        </w:rPr>
        <w:t>positivas ou negativas, nela previstas no interesse da arrecadação ou da fiscalização dos tributos.</w:t>
      </w:r>
    </w:p>
    <w:p w:rsidR="00B26FBD" w:rsidRPr="00B26FBD" w:rsidRDefault="00B26FBD" w:rsidP="00B26FB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2A7C1E" w:rsidRDefault="00B26FBD" w:rsidP="00B26FB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B26FBD">
        <w:rPr>
          <w:rFonts w:ascii="ArialMT" w:hAnsi="ArialMT" w:cs="ArialMT"/>
          <w:sz w:val="24"/>
          <w:szCs w:val="24"/>
        </w:rPr>
        <w:t>Assim, diferentemente da obrigação classificada como principal, a obrigação acessória, também chamada por parte da doutrina como deveres</w:t>
      </w:r>
      <w:r w:rsidR="002A7C1E">
        <w:rPr>
          <w:rFonts w:ascii="ArialMT" w:hAnsi="ArialMT" w:cs="ArialMT"/>
          <w:sz w:val="24"/>
          <w:szCs w:val="24"/>
        </w:rPr>
        <w:t xml:space="preserve"> </w:t>
      </w:r>
      <w:r w:rsidRPr="00B26FBD">
        <w:rPr>
          <w:rFonts w:ascii="ArialMT" w:hAnsi="ArialMT" w:cs="ArialMT"/>
          <w:sz w:val="24"/>
          <w:szCs w:val="24"/>
        </w:rPr>
        <w:t xml:space="preserve">instrumentais, tem por objeto uma prestação não-pecuniária, ou seja, um fazer ou não fazer alguma coisa. </w:t>
      </w:r>
    </w:p>
    <w:p w:rsidR="002A7C1E" w:rsidRDefault="002A7C1E" w:rsidP="00B26FB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B26FBD" w:rsidRPr="00B26FBD" w:rsidRDefault="00B26FBD" w:rsidP="00B26FB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B26FBD">
        <w:rPr>
          <w:rFonts w:ascii="ArialMT" w:hAnsi="ArialMT" w:cs="ArialMT"/>
          <w:sz w:val="24"/>
          <w:szCs w:val="24"/>
        </w:rPr>
        <w:t>Como exemplos de obrigações acessórias</w:t>
      </w:r>
      <w:r w:rsidR="002A7C1E">
        <w:rPr>
          <w:rFonts w:ascii="ArialMT" w:hAnsi="ArialMT" w:cs="ArialMT"/>
          <w:sz w:val="24"/>
          <w:szCs w:val="24"/>
        </w:rPr>
        <w:t xml:space="preserve"> </w:t>
      </w:r>
      <w:r w:rsidRPr="00B26FBD">
        <w:rPr>
          <w:rFonts w:ascii="ArialMT" w:hAnsi="ArialMT" w:cs="ArialMT"/>
          <w:sz w:val="24"/>
          <w:szCs w:val="24"/>
        </w:rPr>
        <w:t>temos a) prestar declarações, b) emitir notas fiscais, c) escriturar livros contábeis e fiscais, d) guardar documentos, etc.</w:t>
      </w:r>
    </w:p>
    <w:p w:rsidR="00B26FBD" w:rsidRPr="00B26FBD" w:rsidRDefault="00B26FBD" w:rsidP="00B26FB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B26FBD" w:rsidRPr="00B26FBD" w:rsidRDefault="00B26FBD" w:rsidP="00B26FB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B26FBD">
        <w:rPr>
          <w:rFonts w:ascii="ArialMT" w:hAnsi="ArialMT" w:cs="ArialMT"/>
          <w:sz w:val="24"/>
          <w:szCs w:val="24"/>
        </w:rPr>
        <w:t>Acrescenta ainda o parágrafo 3º do artigo 113 do CTN, que a obrigação acessória, pelo simples fato da sua inobservância, converte-se em obrigação</w:t>
      </w:r>
      <w:r w:rsidR="002A7C1E">
        <w:rPr>
          <w:rFonts w:ascii="ArialMT" w:hAnsi="ArialMT" w:cs="ArialMT"/>
          <w:sz w:val="24"/>
          <w:szCs w:val="24"/>
        </w:rPr>
        <w:t xml:space="preserve"> </w:t>
      </w:r>
      <w:r w:rsidRPr="00B26FBD">
        <w:rPr>
          <w:rFonts w:ascii="ArialMT" w:hAnsi="ArialMT" w:cs="ArialMT"/>
          <w:sz w:val="24"/>
          <w:szCs w:val="24"/>
        </w:rPr>
        <w:t>principal relativamente à penalidade pecuniária. Ou seja, se acaso uma obrigação acessória não for observada, o seu descumprimento enseja a aplicação</w:t>
      </w:r>
      <w:r w:rsidR="002A7C1E">
        <w:rPr>
          <w:rFonts w:ascii="ArialMT" w:hAnsi="ArialMT" w:cs="ArialMT"/>
          <w:sz w:val="24"/>
          <w:szCs w:val="24"/>
        </w:rPr>
        <w:t xml:space="preserve"> </w:t>
      </w:r>
      <w:r w:rsidRPr="00B26FBD">
        <w:rPr>
          <w:rFonts w:ascii="ArialMT" w:hAnsi="ArialMT" w:cs="ArialMT"/>
          <w:sz w:val="24"/>
          <w:szCs w:val="24"/>
        </w:rPr>
        <w:t>de uma penalidade pecuniária, normalmente representada por uma multa.</w:t>
      </w:r>
    </w:p>
    <w:p w:rsidR="00B26FBD" w:rsidRPr="00B26FBD" w:rsidRDefault="00B26FBD" w:rsidP="00B26FB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171A9B" w:rsidRDefault="00B26FBD" w:rsidP="00B26FB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11D20">
        <w:rPr>
          <w:rFonts w:ascii="ArialMT" w:hAnsi="ArialMT" w:cs="ArialMT"/>
          <w:b/>
          <w:sz w:val="24"/>
          <w:szCs w:val="24"/>
        </w:rPr>
        <w:t>Está multa, por ter caráter pecuniário - é representada por uma quantia em dinheiro</w:t>
      </w:r>
      <w:r w:rsidRPr="00B26FBD">
        <w:rPr>
          <w:rFonts w:ascii="ArialMT" w:hAnsi="ArialMT" w:cs="ArialMT"/>
          <w:sz w:val="24"/>
          <w:szCs w:val="24"/>
        </w:rPr>
        <w:t xml:space="preserve"> - torna-se uma obrigação principal, já que, conforme vimos, toda a obrigação tributária de cunho patrimonial é classificada como principal, segundo o parágrafo 1º do art. 113 do CTN.</w:t>
      </w:r>
    </w:p>
    <w:p w:rsidR="00577F90" w:rsidRDefault="00577F90" w:rsidP="00B26FB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171A9B" w:rsidRDefault="00171A9B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</w:p>
    <w:p w:rsidR="00171A9B" w:rsidRPr="00797E37" w:rsidRDefault="00D139B2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24"/>
          <w:szCs w:val="24"/>
        </w:rPr>
      </w:pPr>
      <w:r w:rsidRPr="00797E37">
        <w:rPr>
          <w:rFonts w:ascii="ArialMT" w:hAnsi="ArialMT" w:cs="ArialMT"/>
          <w:b/>
          <w:sz w:val="24"/>
          <w:szCs w:val="24"/>
        </w:rPr>
        <w:t>Conclusão:</w:t>
      </w:r>
    </w:p>
    <w:p w:rsidR="00D139B2" w:rsidRDefault="00D139B2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D139B2" w:rsidRPr="00D139B2" w:rsidRDefault="00D139B2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 w:rsidRPr="00D139B2">
        <w:rPr>
          <w:rFonts w:ascii="Arial" w:hAnsi="Arial" w:cs="Arial"/>
          <w:sz w:val="24"/>
        </w:rPr>
        <w:t>Por todo o exposto, opino nos seguintes termos:</w:t>
      </w:r>
    </w:p>
    <w:p w:rsidR="00171A9B" w:rsidRDefault="00171A9B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</w:p>
    <w:p w:rsidR="0061103B" w:rsidRDefault="0061103B" w:rsidP="006110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MT" w:hAnsi="ArialMT" w:cs="ArialMT"/>
          <w:sz w:val="24"/>
          <w:szCs w:val="24"/>
        </w:rPr>
        <w:t xml:space="preserve">A ação cabível é de </w:t>
      </w:r>
      <w:r w:rsidRPr="0061103B">
        <w:rPr>
          <w:rFonts w:ascii="ArialMT" w:hAnsi="ArialMT" w:cs="ArialMT"/>
          <w:sz w:val="24"/>
          <w:szCs w:val="24"/>
        </w:rPr>
        <w:t xml:space="preserve">Ação Declaratória </w:t>
      </w:r>
      <w:r>
        <w:rPr>
          <w:rFonts w:ascii="ArialMT" w:hAnsi="ArialMT" w:cs="ArialMT"/>
          <w:sz w:val="24"/>
          <w:szCs w:val="24"/>
        </w:rPr>
        <w:t>d</w:t>
      </w:r>
      <w:r w:rsidRPr="0061103B">
        <w:rPr>
          <w:rFonts w:ascii="ArialMT" w:hAnsi="ArialMT" w:cs="ArialMT"/>
          <w:sz w:val="24"/>
          <w:szCs w:val="24"/>
        </w:rPr>
        <w:t xml:space="preserve">e Inexistência </w:t>
      </w:r>
      <w:r>
        <w:rPr>
          <w:rFonts w:ascii="ArialMT" w:hAnsi="ArialMT" w:cs="ArialMT"/>
          <w:sz w:val="24"/>
          <w:szCs w:val="24"/>
        </w:rPr>
        <w:t>d</w:t>
      </w:r>
      <w:r w:rsidRPr="0061103B">
        <w:rPr>
          <w:rFonts w:ascii="ArialMT" w:hAnsi="ArialMT" w:cs="ArialMT"/>
          <w:sz w:val="24"/>
          <w:szCs w:val="24"/>
        </w:rPr>
        <w:t>e Relação Jurídica Tributária</w:t>
      </w:r>
      <w:r>
        <w:rPr>
          <w:rFonts w:ascii="ArialMT" w:hAnsi="ArialMT" w:cs="ArialMT"/>
          <w:sz w:val="24"/>
          <w:szCs w:val="24"/>
        </w:rPr>
        <w:t xml:space="preserve">, com pedido de tutela antecipada para suspensão da exigibilidade  </w:t>
      </w:r>
      <w:r>
        <w:rPr>
          <w:rFonts w:ascii="ArialMT" w:hAnsi="ArialMT" w:cs="ArialMT"/>
          <w:sz w:val="24"/>
          <w:szCs w:val="24"/>
        </w:rPr>
        <w:lastRenderedPageBreak/>
        <w:t xml:space="preserve">do crédito tributário, dado que ainda não ocorreu a </w:t>
      </w:r>
      <w:r w:rsidRPr="00CB51C5">
        <w:rPr>
          <w:rFonts w:ascii="Arial" w:hAnsi="Arial" w:cs="Arial"/>
          <w:sz w:val="24"/>
        </w:rPr>
        <w:t>constituição do crédito tributário</w:t>
      </w:r>
      <w:r>
        <w:rPr>
          <w:rFonts w:ascii="Arial" w:hAnsi="Arial" w:cs="Arial"/>
          <w:sz w:val="24"/>
        </w:rPr>
        <w:t>.</w:t>
      </w:r>
    </w:p>
    <w:p w:rsidR="00797E37" w:rsidRDefault="00797E37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</w:p>
    <w:p w:rsidR="00577F90" w:rsidRDefault="00577F90" w:rsidP="0061103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A cobrança de multa em percentual de </w:t>
      </w:r>
      <w:r w:rsidR="004C37B4">
        <w:rPr>
          <w:rFonts w:ascii="ArialMT" w:hAnsi="ArialMT" w:cs="ArialMT"/>
          <w:sz w:val="24"/>
          <w:szCs w:val="24"/>
        </w:rPr>
        <w:t>4</w:t>
      </w:r>
      <w:r>
        <w:rPr>
          <w:rFonts w:ascii="ArialMT" w:hAnsi="ArialMT" w:cs="ArialMT"/>
          <w:sz w:val="24"/>
          <w:szCs w:val="24"/>
        </w:rPr>
        <w:t xml:space="preserve">5% é incabível, dado que o CTN, autoriza </w:t>
      </w:r>
      <w:r w:rsidR="005378FE">
        <w:rPr>
          <w:rFonts w:ascii="ArialMT" w:hAnsi="ArialMT" w:cs="ArialMT"/>
          <w:sz w:val="24"/>
          <w:szCs w:val="24"/>
        </w:rPr>
        <w:t xml:space="preserve">expressamente </w:t>
      </w:r>
      <w:r>
        <w:rPr>
          <w:rFonts w:ascii="ArialMT" w:hAnsi="ArialMT" w:cs="ArialMT"/>
          <w:sz w:val="24"/>
          <w:szCs w:val="24"/>
        </w:rPr>
        <w:t>a aplicação de multa</w:t>
      </w:r>
      <w:r w:rsidR="005378FE">
        <w:rPr>
          <w:rFonts w:ascii="ArialMT" w:hAnsi="ArialMT" w:cs="ArialMT"/>
          <w:sz w:val="24"/>
          <w:szCs w:val="24"/>
        </w:rPr>
        <w:t>s</w:t>
      </w:r>
      <w:r>
        <w:rPr>
          <w:rFonts w:ascii="ArialMT" w:hAnsi="ArialMT" w:cs="ArialMT"/>
          <w:sz w:val="24"/>
          <w:szCs w:val="24"/>
        </w:rPr>
        <w:t xml:space="preserve"> tão somente em valores.</w:t>
      </w:r>
    </w:p>
    <w:p w:rsidR="00577F90" w:rsidRDefault="00577F90" w:rsidP="0061103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61103B" w:rsidRPr="0061103B" w:rsidRDefault="0061103B" w:rsidP="0061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103B">
        <w:rPr>
          <w:rFonts w:ascii="ArialMT" w:hAnsi="ArialMT" w:cs="ArialMT"/>
          <w:sz w:val="24"/>
          <w:szCs w:val="24"/>
        </w:rPr>
        <w:t xml:space="preserve">Com </w:t>
      </w:r>
      <w:r>
        <w:rPr>
          <w:rFonts w:ascii="ArialMT" w:hAnsi="ArialMT" w:cs="ArialMT"/>
          <w:sz w:val="24"/>
          <w:szCs w:val="24"/>
        </w:rPr>
        <w:t>fundamentos:</w:t>
      </w:r>
    </w:p>
    <w:p w:rsidR="0061103B" w:rsidRDefault="0061103B" w:rsidP="00D139B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61103B" w:rsidRDefault="0061103B" w:rsidP="0061103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61103B">
        <w:rPr>
          <w:rFonts w:ascii="ArialMT" w:hAnsi="ArialMT" w:cs="ArialMT"/>
          <w:sz w:val="24"/>
          <w:szCs w:val="24"/>
        </w:rPr>
        <w:t>Artigo</w:t>
      </w:r>
      <w:r>
        <w:rPr>
          <w:rFonts w:ascii="ArialMT" w:hAnsi="ArialMT" w:cs="ArialMT"/>
          <w:sz w:val="24"/>
          <w:szCs w:val="24"/>
        </w:rPr>
        <w:t xml:space="preserve"> 18 do Novo</w:t>
      </w:r>
      <w:r w:rsidRPr="0061103B">
        <w:rPr>
          <w:rFonts w:ascii="ArialMT" w:hAnsi="ArialMT" w:cs="ArialMT"/>
          <w:sz w:val="24"/>
          <w:szCs w:val="24"/>
        </w:rPr>
        <w:t xml:space="preserve"> Código de Processo Civil</w:t>
      </w:r>
      <w:r>
        <w:rPr>
          <w:rFonts w:ascii="ArialMT" w:hAnsi="ArialMT" w:cs="ArialMT"/>
          <w:sz w:val="24"/>
          <w:szCs w:val="24"/>
        </w:rPr>
        <w:t xml:space="preserve"> c/c art. 151 do CTN.</w:t>
      </w:r>
    </w:p>
    <w:p w:rsidR="006A06F6" w:rsidRDefault="006A06F6" w:rsidP="0061103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6A06F6" w:rsidRDefault="006A06F6" w:rsidP="0061103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 sentença trará como efeitos a não aplicação e a desnecessidade de pagamento da alíquota</w:t>
      </w:r>
      <w:r w:rsidR="008856B3">
        <w:rPr>
          <w:rFonts w:ascii="ArialMT" w:hAnsi="ArialMT" w:cs="ArialMT"/>
          <w:sz w:val="24"/>
          <w:szCs w:val="24"/>
        </w:rPr>
        <w:t xml:space="preserve"> de 45% sobre o valor declarado</w:t>
      </w:r>
      <w:r w:rsidR="001C452D">
        <w:rPr>
          <w:rFonts w:ascii="ArialMT" w:hAnsi="ArialMT" w:cs="ArialMT"/>
          <w:sz w:val="24"/>
          <w:szCs w:val="24"/>
        </w:rPr>
        <w:t xml:space="preserve"> e a estipulação do valor correto em relação </w:t>
      </w:r>
      <w:r w:rsidR="00350F96">
        <w:rPr>
          <w:rFonts w:ascii="ArialMT" w:hAnsi="ArialMT" w:cs="ArialMT"/>
          <w:sz w:val="24"/>
          <w:szCs w:val="24"/>
        </w:rPr>
        <w:t>à</w:t>
      </w:r>
      <w:r w:rsidR="001C452D">
        <w:rPr>
          <w:rFonts w:ascii="ArialMT" w:hAnsi="ArialMT" w:cs="ArialMT"/>
          <w:sz w:val="24"/>
          <w:szCs w:val="24"/>
        </w:rPr>
        <w:t xml:space="preserve"> multa devida.</w:t>
      </w:r>
    </w:p>
    <w:p w:rsidR="0061103B" w:rsidRDefault="0061103B" w:rsidP="0061103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D139B2" w:rsidRDefault="00D139B2" w:rsidP="00D139B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D139B2">
        <w:rPr>
          <w:rFonts w:ascii="ArialMT" w:hAnsi="ArialMT" w:cs="ArialMT"/>
          <w:sz w:val="24"/>
          <w:szCs w:val="24"/>
        </w:rPr>
        <w:t>É o parecer</w:t>
      </w:r>
      <w:r>
        <w:rPr>
          <w:rFonts w:ascii="ArialMT" w:hAnsi="ArialMT" w:cs="ArialMT"/>
          <w:sz w:val="24"/>
          <w:szCs w:val="24"/>
        </w:rPr>
        <w:t>.</w:t>
      </w:r>
    </w:p>
    <w:p w:rsidR="00D139B2" w:rsidRPr="00D139B2" w:rsidRDefault="00D139B2" w:rsidP="00D139B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D139B2">
        <w:rPr>
          <w:rFonts w:ascii="ArialMT" w:hAnsi="ArialMT" w:cs="ArialMT"/>
          <w:sz w:val="24"/>
          <w:szCs w:val="24"/>
        </w:rPr>
        <w:t xml:space="preserve"> </w:t>
      </w:r>
    </w:p>
    <w:p w:rsidR="00D139B2" w:rsidRPr="00D139B2" w:rsidRDefault="00D139B2" w:rsidP="00D139B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Campo Grande-MS</w:t>
      </w:r>
      <w:r w:rsidRPr="00D139B2">
        <w:rPr>
          <w:rFonts w:ascii="ArialMT" w:hAnsi="ArialMT" w:cs="ArialMT"/>
          <w:sz w:val="24"/>
          <w:szCs w:val="24"/>
        </w:rPr>
        <w:t xml:space="preserve">, </w:t>
      </w:r>
      <w:r>
        <w:rPr>
          <w:rFonts w:ascii="ArialMT" w:hAnsi="ArialMT" w:cs="ArialMT"/>
          <w:sz w:val="24"/>
          <w:szCs w:val="24"/>
        </w:rPr>
        <w:t>06</w:t>
      </w:r>
      <w:r w:rsidRPr="00D139B2">
        <w:rPr>
          <w:rFonts w:ascii="ArialMT" w:hAnsi="ArialMT" w:cs="ArialMT"/>
          <w:sz w:val="24"/>
          <w:szCs w:val="24"/>
        </w:rPr>
        <w:t xml:space="preserve"> de </w:t>
      </w:r>
      <w:r>
        <w:rPr>
          <w:rFonts w:ascii="ArialMT" w:hAnsi="ArialMT" w:cs="ArialMT"/>
          <w:sz w:val="24"/>
          <w:szCs w:val="24"/>
        </w:rPr>
        <w:t>Abril</w:t>
      </w:r>
      <w:r w:rsidRPr="00D139B2">
        <w:rPr>
          <w:rFonts w:ascii="ArialMT" w:hAnsi="ArialMT" w:cs="ArialMT"/>
          <w:sz w:val="24"/>
          <w:szCs w:val="24"/>
        </w:rPr>
        <w:t xml:space="preserve"> de 20</w:t>
      </w:r>
      <w:r>
        <w:rPr>
          <w:rFonts w:ascii="ArialMT" w:hAnsi="ArialMT" w:cs="ArialMT"/>
          <w:sz w:val="24"/>
          <w:szCs w:val="24"/>
        </w:rPr>
        <w:t>17</w:t>
      </w:r>
      <w:r w:rsidRPr="00D139B2">
        <w:rPr>
          <w:rFonts w:ascii="ArialMT" w:hAnsi="ArialMT" w:cs="ArialMT"/>
          <w:sz w:val="24"/>
          <w:szCs w:val="24"/>
        </w:rPr>
        <w:t>.</w:t>
      </w:r>
    </w:p>
    <w:p w:rsidR="00D139B2" w:rsidRPr="00D139B2" w:rsidRDefault="00D139B2" w:rsidP="00D139B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D139B2" w:rsidRPr="00D139B2" w:rsidRDefault="00D139B2" w:rsidP="00D139B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D139B2" w:rsidRPr="00D139B2" w:rsidRDefault="00D139B2" w:rsidP="00D139B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D139B2" w:rsidRDefault="00D139B2" w:rsidP="00D139B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----------------</w:t>
      </w:r>
    </w:p>
    <w:p w:rsidR="00D139B2" w:rsidRDefault="00D139B2" w:rsidP="00D139B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</w:t>
      </w:r>
      <w:r w:rsidRPr="00D139B2">
        <w:rPr>
          <w:rFonts w:ascii="ArialMT" w:hAnsi="ArialMT" w:cs="ArialMT"/>
          <w:sz w:val="24"/>
          <w:szCs w:val="24"/>
        </w:rPr>
        <w:t>OAB/</w:t>
      </w:r>
      <w:r>
        <w:rPr>
          <w:rFonts w:ascii="ArialMT" w:hAnsi="ArialMT" w:cs="ArialMT"/>
          <w:sz w:val="24"/>
          <w:szCs w:val="24"/>
        </w:rPr>
        <w:t xml:space="preserve">MS </w:t>
      </w:r>
    </w:p>
    <w:p w:rsidR="00D139B2" w:rsidRPr="00D139B2" w:rsidRDefault="00D139B2" w:rsidP="00D139B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D139B2" w:rsidRPr="00967F48" w:rsidRDefault="00D139B2" w:rsidP="00D139B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</w:p>
    <w:p w:rsidR="000E6418" w:rsidRPr="00967F4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  <w:r w:rsidRPr="00967F48">
        <w:rPr>
          <w:rFonts w:ascii="ArialMT" w:hAnsi="ArialMT" w:cs="ArialMT"/>
          <w:color w:val="FF0000"/>
          <w:sz w:val="24"/>
          <w:szCs w:val="24"/>
        </w:rPr>
        <w:t>5. Quanto à exceção de pré-executividade, pergunta-se: (a) Em que consiste a</w:t>
      </w:r>
    </w:p>
    <w:p w:rsidR="000E6418" w:rsidRPr="00967F4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  <w:r w:rsidRPr="00967F48">
        <w:rPr>
          <w:rFonts w:ascii="ArialMT" w:hAnsi="ArialMT" w:cs="ArialMT"/>
          <w:color w:val="FF0000"/>
          <w:sz w:val="24"/>
          <w:szCs w:val="24"/>
        </w:rPr>
        <w:t>exceção de pré-executividade? (b) Qual seu fundamento legal? (c) Quem pode</w:t>
      </w:r>
    </w:p>
    <w:p w:rsidR="000E6418" w:rsidRPr="00967F4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  <w:r w:rsidRPr="00967F48">
        <w:rPr>
          <w:rFonts w:ascii="ArialMT" w:hAnsi="ArialMT" w:cs="ArialMT"/>
          <w:color w:val="FF0000"/>
          <w:sz w:val="24"/>
          <w:szCs w:val="24"/>
        </w:rPr>
        <w:t>oferecê-la? Qual o momento adequado para sua apresentação? (d) Quais matérias são passíveis de arguição? A oposição de exceção de pré-executividade tem o condão de suspender o trâmite do processo de execução? (Vide anexos III e IV).</w:t>
      </w:r>
    </w:p>
    <w:p w:rsidR="000E641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792780">
        <w:rPr>
          <w:rFonts w:ascii="Arial" w:hAnsi="Arial" w:cs="Arial"/>
          <w:b/>
          <w:sz w:val="24"/>
        </w:rPr>
        <w:t>R.</w:t>
      </w:r>
    </w:p>
    <w:p w:rsidR="000E6418" w:rsidRPr="00AD72FA" w:rsidRDefault="00AD72FA" w:rsidP="00AD72F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AD72FA">
        <w:rPr>
          <w:rFonts w:ascii="ArialMT" w:hAnsi="ArialMT" w:cs="ArialMT"/>
          <w:sz w:val="24"/>
          <w:szCs w:val="24"/>
        </w:rPr>
        <w:t>A Exceção de Pré-Executividade consiste em instrumento de impugnação à execução, normalmente utilizado quando a defesa é tão evidente</w:t>
      </w:r>
      <w:r>
        <w:rPr>
          <w:rFonts w:ascii="ArialMT" w:hAnsi="ArialMT" w:cs="ArialMT"/>
          <w:sz w:val="24"/>
          <w:szCs w:val="24"/>
        </w:rPr>
        <w:t xml:space="preserve"> </w:t>
      </w:r>
      <w:r w:rsidRPr="00AD72FA">
        <w:rPr>
          <w:rFonts w:ascii="ArialMT" w:hAnsi="ArialMT" w:cs="ArialMT"/>
          <w:sz w:val="24"/>
          <w:szCs w:val="24"/>
        </w:rPr>
        <w:t>que não se justifica a sujeição do executado aos requisitos formais dos embargos, sendo manifesta a injustiça do prosseguimento da execução.</w:t>
      </w:r>
    </w:p>
    <w:p w:rsidR="009B040C" w:rsidRDefault="009B040C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</w:p>
    <w:p w:rsidR="007A17E5" w:rsidRDefault="007A17E5" w:rsidP="007A17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7A17E5">
        <w:rPr>
          <w:rFonts w:ascii="ArialMT" w:hAnsi="ArialMT" w:cs="ArialMT"/>
          <w:sz w:val="24"/>
          <w:szCs w:val="24"/>
        </w:rPr>
        <w:t>Admite-se seu manejo em execução fiscal quando a matéria invocada</w:t>
      </w:r>
      <w:r>
        <w:rPr>
          <w:rFonts w:ascii="ArialMT" w:hAnsi="ArialMT" w:cs="ArialMT"/>
          <w:sz w:val="24"/>
          <w:szCs w:val="24"/>
        </w:rPr>
        <w:t xml:space="preserve"> </w:t>
      </w:r>
      <w:r w:rsidRPr="007A17E5">
        <w:rPr>
          <w:rFonts w:ascii="ArialMT" w:hAnsi="ArialMT" w:cs="ArialMT"/>
          <w:sz w:val="24"/>
          <w:szCs w:val="24"/>
        </w:rPr>
        <w:t>for suscetível de conhecimento de ofício pelo juiz, como condições da ação,</w:t>
      </w:r>
      <w:r>
        <w:rPr>
          <w:rFonts w:ascii="ArialMT" w:hAnsi="ArialMT" w:cs="ArialMT"/>
          <w:sz w:val="24"/>
          <w:szCs w:val="24"/>
        </w:rPr>
        <w:t xml:space="preserve"> </w:t>
      </w:r>
      <w:r w:rsidRPr="007A17E5">
        <w:rPr>
          <w:rFonts w:ascii="ArialMT" w:hAnsi="ArialMT" w:cs="ArialMT"/>
          <w:sz w:val="24"/>
          <w:szCs w:val="24"/>
        </w:rPr>
        <w:t>pressupostos processuais, prescrição e decadência; e não demande dilação</w:t>
      </w:r>
      <w:r>
        <w:rPr>
          <w:rFonts w:ascii="ArialMT" w:hAnsi="ArialMT" w:cs="ArialMT"/>
          <w:sz w:val="24"/>
          <w:szCs w:val="24"/>
        </w:rPr>
        <w:t xml:space="preserve"> </w:t>
      </w:r>
      <w:r w:rsidRPr="007A17E5">
        <w:rPr>
          <w:rFonts w:ascii="ArialMT" w:hAnsi="ArialMT" w:cs="ArialMT"/>
          <w:sz w:val="24"/>
          <w:szCs w:val="24"/>
        </w:rPr>
        <w:t xml:space="preserve">probatória. </w:t>
      </w:r>
    </w:p>
    <w:p w:rsidR="007A17E5" w:rsidRDefault="007A17E5" w:rsidP="007A17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7A17E5" w:rsidRDefault="007A17E5" w:rsidP="007A17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7A17E5">
        <w:rPr>
          <w:rFonts w:ascii="ArialMT" w:hAnsi="ArialMT" w:cs="ArialMT"/>
          <w:sz w:val="24"/>
          <w:szCs w:val="24"/>
        </w:rPr>
        <w:t xml:space="preserve">Nesse sentido, </w:t>
      </w:r>
      <w:r>
        <w:rPr>
          <w:rFonts w:ascii="ArialMT" w:hAnsi="ArialMT" w:cs="ArialMT"/>
          <w:sz w:val="24"/>
          <w:szCs w:val="24"/>
        </w:rPr>
        <w:t>a</w:t>
      </w:r>
      <w:r w:rsidRPr="007A17E5">
        <w:rPr>
          <w:rFonts w:ascii="ArialMT" w:hAnsi="ArialMT" w:cs="ArialMT"/>
          <w:sz w:val="24"/>
          <w:szCs w:val="24"/>
        </w:rPr>
        <w:t xml:space="preserve"> Súmula nº 393 do STJ: “A exceção de pré</w:t>
      </w:r>
      <w:r>
        <w:rPr>
          <w:rFonts w:ascii="ArialMT" w:hAnsi="ArialMT" w:cs="ArialMT"/>
          <w:sz w:val="24"/>
          <w:szCs w:val="24"/>
        </w:rPr>
        <w:t>-</w:t>
      </w:r>
      <w:r w:rsidRPr="007A17E5">
        <w:rPr>
          <w:rFonts w:ascii="ArialMT" w:hAnsi="ArialMT" w:cs="ArialMT"/>
          <w:sz w:val="24"/>
          <w:szCs w:val="24"/>
        </w:rPr>
        <w:t>executividade</w:t>
      </w:r>
      <w:r>
        <w:rPr>
          <w:rFonts w:ascii="ArialMT" w:hAnsi="ArialMT" w:cs="ArialMT"/>
          <w:sz w:val="24"/>
          <w:szCs w:val="24"/>
        </w:rPr>
        <w:t xml:space="preserve"> </w:t>
      </w:r>
      <w:r w:rsidRPr="007A17E5">
        <w:rPr>
          <w:rFonts w:ascii="ArialMT" w:hAnsi="ArialMT" w:cs="ArialMT"/>
          <w:sz w:val="24"/>
          <w:szCs w:val="24"/>
        </w:rPr>
        <w:t>é admissível na execução fiscal relativamente às matérias</w:t>
      </w:r>
      <w:r>
        <w:rPr>
          <w:rFonts w:ascii="ArialMT" w:hAnsi="ArialMT" w:cs="ArialMT"/>
          <w:sz w:val="24"/>
          <w:szCs w:val="24"/>
        </w:rPr>
        <w:t xml:space="preserve"> </w:t>
      </w:r>
      <w:r w:rsidRPr="007A17E5">
        <w:rPr>
          <w:rFonts w:ascii="ArialMT" w:hAnsi="ArialMT" w:cs="ArialMT"/>
          <w:sz w:val="24"/>
          <w:szCs w:val="24"/>
        </w:rPr>
        <w:t>conhecíveis de ofício que não demandem dilação probatória.”.</w:t>
      </w:r>
    </w:p>
    <w:p w:rsidR="007A17E5" w:rsidRPr="007A17E5" w:rsidRDefault="007A17E5" w:rsidP="007A17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7A17E5" w:rsidRPr="007A17E5" w:rsidRDefault="007A17E5" w:rsidP="007A17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7A17E5">
        <w:rPr>
          <w:rFonts w:ascii="ArialMT" w:hAnsi="ArialMT" w:cs="ArialMT"/>
          <w:sz w:val="24"/>
          <w:szCs w:val="24"/>
        </w:rPr>
        <w:t>Além disso, por tratar-se de técnica de cognição sumária, que não</w:t>
      </w:r>
      <w:r>
        <w:rPr>
          <w:rFonts w:ascii="ArialMT" w:hAnsi="ArialMT" w:cs="ArialMT"/>
          <w:sz w:val="24"/>
          <w:szCs w:val="24"/>
        </w:rPr>
        <w:t xml:space="preserve"> </w:t>
      </w:r>
      <w:r w:rsidRPr="007A17E5">
        <w:rPr>
          <w:rFonts w:ascii="ArialMT" w:hAnsi="ArialMT" w:cs="ArialMT"/>
          <w:sz w:val="24"/>
          <w:szCs w:val="24"/>
        </w:rPr>
        <w:t>analisa o mérito de forma plena, com todos os instrumentos postos a</w:t>
      </w:r>
      <w:r>
        <w:rPr>
          <w:rFonts w:ascii="ArialMT" w:hAnsi="ArialMT" w:cs="ArialMT"/>
          <w:sz w:val="24"/>
          <w:szCs w:val="24"/>
        </w:rPr>
        <w:t xml:space="preserve"> </w:t>
      </w:r>
      <w:r w:rsidRPr="007A17E5">
        <w:rPr>
          <w:rFonts w:ascii="ArialMT" w:hAnsi="ArialMT" w:cs="ArialMT"/>
          <w:sz w:val="24"/>
          <w:szCs w:val="24"/>
        </w:rPr>
        <w:t>disposição das partes como ocorre no processo de conhecimento dos</w:t>
      </w:r>
      <w:r>
        <w:rPr>
          <w:rFonts w:ascii="ArialMT" w:hAnsi="ArialMT" w:cs="ArialMT"/>
          <w:sz w:val="24"/>
          <w:szCs w:val="24"/>
        </w:rPr>
        <w:t xml:space="preserve"> </w:t>
      </w:r>
      <w:r w:rsidRPr="007A17E5">
        <w:rPr>
          <w:rFonts w:ascii="ArialMT" w:hAnsi="ArialMT" w:cs="ArialMT"/>
          <w:sz w:val="24"/>
          <w:szCs w:val="24"/>
        </w:rPr>
        <w:t>embargos à execução, a decisão proveniente do aludido incidente não tem o</w:t>
      </w:r>
      <w:r>
        <w:rPr>
          <w:rFonts w:ascii="ArialMT" w:hAnsi="ArialMT" w:cs="ArialMT"/>
          <w:sz w:val="24"/>
          <w:szCs w:val="24"/>
        </w:rPr>
        <w:t xml:space="preserve"> </w:t>
      </w:r>
      <w:r w:rsidRPr="007A17E5">
        <w:rPr>
          <w:rFonts w:ascii="ArialMT" w:hAnsi="ArialMT" w:cs="ArialMT"/>
          <w:sz w:val="24"/>
          <w:szCs w:val="24"/>
        </w:rPr>
        <w:t>condão de fazer coisa julgada material.</w:t>
      </w:r>
    </w:p>
    <w:p w:rsidR="007A17E5" w:rsidRPr="007A17E5" w:rsidRDefault="007A17E5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9B040C" w:rsidRDefault="007A17E5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</w:t>
      </w:r>
      <w:r w:rsidRPr="007A17E5">
        <w:rPr>
          <w:rFonts w:ascii="ArialMT" w:hAnsi="ArialMT" w:cs="ArialMT"/>
          <w:sz w:val="24"/>
          <w:szCs w:val="24"/>
        </w:rPr>
        <w:t xml:space="preserve"> defesa apresentada por meio de exceção de pré</w:t>
      </w:r>
      <w:r>
        <w:rPr>
          <w:rFonts w:ascii="ArialMT" w:hAnsi="ArialMT" w:cs="ArialMT"/>
          <w:sz w:val="24"/>
          <w:szCs w:val="24"/>
        </w:rPr>
        <w:t>-</w:t>
      </w:r>
      <w:r w:rsidRPr="007A17E5">
        <w:rPr>
          <w:rFonts w:ascii="ArialMT" w:hAnsi="ArialMT" w:cs="ArialMT"/>
          <w:sz w:val="24"/>
          <w:szCs w:val="24"/>
        </w:rPr>
        <w:t>executividade</w:t>
      </w:r>
      <w:r>
        <w:rPr>
          <w:rFonts w:ascii="ArialMT" w:hAnsi="ArialMT" w:cs="ArialMT"/>
          <w:sz w:val="24"/>
          <w:szCs w:val="24"/>
        </w:rPr>
        <w:t xml:space="preserve"> </w:t>
      </w:r>
      <w:r w:rsidRPr="007A17E5">
        <w:rPr>
          <w:rFonts w:ascii="ArialMT" w:hAnsi="ArialMT" w:cs="ArialMT"/>
          <w:sz w:val="24"/>
          <w:szCs w:val="24"/>
        </w:rPr>
        <w:t>rejeitada, poderá ser rediscutida em embargos à execução.</w:t>
      </w:r>
    </w:p>
    <w:p w:rsidR="007A17E5" w:rsidRPr="007A17E5" w:rsidRDefault="007A17E5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AD37CA" w:rsidRDefault="00AD37CA" w:rsidP="00AD37C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AD37CA">
        <w:rPr>
          <w:rFonts w:ascii="ArialMT" w:hAnsi="ArialMT" w:cs="ArialMT"/>
          <w:sz w:val="24"/>
          <w:szCs w:val="24"/>
        </w:rPr>
        <w:t xml:space="preserve">A exceção de pré-executividade não encontra alicerces no ordenamento jurídico brasileiro, sendo, pois, uma construção doutrinária e jurisprudencial. </w:t>
      </w:r>
    </w:p>
    <w:p w:rsidR="00AD37CA" w:rsidRDefault="00AD37CA" w:rsidP="00AD37C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132276" w:rsidRDefault="00132276" w:rsidP="0013227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Um</w:t>
      </w:r>
      <w:r w:rsidRPr="00AD37CA">
        <w:rPr>
          <w:rFonts w:ascii="ArialMT" w:hAnsi="ArialMT" w:cs="ArialMT"/>
          <w:sz w:val="24"/>
          <w:szCs w:val="24"/>
        </w:rPr>
        <w:t xml:space="preserve"> dos pilares em que se assenta o instituto da exceção de pré-executividade é a desnecessidade de constrição patrimonial para atacar um título executivo. </w:t>
      </w:r>
    </w:p>
    <w:p w:rsidR="00132276" w:rsidRDefault="00132276" w:rsidP="00AD37C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132276" w:rsidRDefault="00AD37CA" w:rsidP="00AD37C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AD37CA">
        <w:rPr>
          <w:rFonts w:ascii="ArialMT" w:hAnsi="ArialMT" w:cs="ArialMT"/>
          <w:sz w:val="24"/>
          <w:szCs w:val="24"/>
        </w:rPr>
        <w:t xml:space="preserve">Caso escape ao exame do magistrado a presença de vício que macule a execução e impeça a formação de uma relação processual válida, considerada a violência a que é submetido o executado pela realização dos atos executórios, no caso injustos e ilegais, porquanto sem título hábil, tem admitido a doutrina e a jurisprudência a interposição de Exceção de pré-executividade a fim de que o devedor possa truncar essa execução ilegal, sem submeter-se à violência da constrição. </w:t>
      </w:r>
    </w:p>
    <w:p w:rsidR="00132276" w:rsidRDefault="00132276" w:rsidP="00AD37C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AD37CA" w:rsidRDefault="00AD37CA" w:rsidP="00AD37C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AD37CA">
        <w:rPr>
          <w:rFonts w:ascii="ArialMT" w:hAnsi="ArialMT" w:cs="ArialMT"/>
          <w:sz w:val="24"/>
          <w:szCs w:val="24"/>
        </w:rPr>
        <w:t xml:space="preserve">Sales (2007), ao estudar o assunto, estabeleceu que “é exceção, posto tratar-se de instrumento de defesa de direito material, que </w:t>
      </w:r>
      <w:r w:rsidRPr="00132276">
        <w:rPr>
          <w:rFonts w:ascii="ArialMT" w:hAnsi="ArialMT" w:cs="ArialMT"/>
          <w:b/>
          <w:sz w:val="24"/>
          <w:szCs w:val="24"/>
        </w:rPr>
        <w:t>contém temas que o juiz somente pode examinar a requerimento da parte.</w:t>
      </w:r>
      <w:r w:rsidRPr="00AD37CA">
        <w:rPr>
          <w:rFonts w:ascii="ArialMT" w:hAnsi="ArialMT" w:cs="ArialMT"/>
          <w:sz w:val="24"/>
          <w:szCs w:val="24"/>
        </w:rPr>
        <w:t xml:space="preserve"> As matérias argüíveis por meio de exceção seriam o pagamento ou qualquer outra forma de extinção da obrigação”. A objeção de pré-executividade, por outro lado, só teria cabimento “quando a matéria a ser alegada fosse de ordem pública”.</w:t>
      </w:r>
    </w:p>
    <w:p w:rsidR="00132276" w:rsidRDefault="00132276" w:rsidP="00AD37C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9B040C" w:rsidRPr="00967F48" w:rsidRDefault="009B040C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</w:p>
    <w:p w:rsidR="000E6418" w:rsidRPr="00967F4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  <w:r w:rsidRPr="00967F48">
        <w:rPr>
          <w:rFonts w:ascii="ArialMT" w:hAnsi="ArialMT" w:cs="ArialMT"/>
          <w:color w:val="FF0000"/>
          <w:sz w:val="24"/>
          <w:szCs w:val="24"/>
        </w:rPr>
        <w:t>6. Considerando os arts. 914 e 919 do CPC/15, bem como as disposições do art. 16 da Lei de Execuções Fiscais (Lei n. 6.830/80), pergunta-se:</w:t>
      </w:r>
    </w:p>
    <w:p w:rsidR="000E6418" w:rsidRPr="00967F4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</w:p>
    <w:p w:rsidR="000E6418" w:rsidRPr="00967F4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  <w:r w:rsidRPr="00967F48">
        <w:rPr>
          <w:rFonts w:ascii="ArialMT" w:hAnsi="ArialMT" w:cs="ArialMT"/>
          <w:color w:val="FF0000"/>
          <w:sz w:val="24"/>
          <w:szCs w:val="24"/>
        </w:rPr>
        <w:t>a) A garantia do juízo é requisito indispensável ao recebimento dos embargos à</w:t>
      </w:r>
    </w:p>
    <w:p w:rsidR="000E6418" w:rsidRPr="00967F4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  <w:r w:rsidRPr="00967F48">
        <w:rPr>
          <w:rFonts w:ascii="ArialMT" w:hAnsi="ArialMT" w:cs="ArialMT"/>
          <w:color w:val="FF0000"/>
          <w:sz w:val="24"/>
          <w:szCs w:val="24"/>
        </w:rPr>
        <w:t>execução fiscal? (Vide anexo V). Se positivo, essa garantia deve ser total? (Vide anexo VI).</w:t>
      </w:r>
    </w:p>
    <w:p w:rsidR="0065418E" w:rsidRDefault="000E6418" w:rsidP="006541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792780">
        <w:rPr>
          <w:rFonts w:ascii="Arial" w:hAnsi="Arial" w:cs="Arial"/>
          <w:b/>
          <w:sz w:val="24"/>
        </w:rPr>
        <w:t>R.</w:t>
      </w:r>
    </w:p>
    <w:p w:rsidR="00055C8A" w:rsidRDefault="00055C8A" w:rsidP="006541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A0454C" w:rsidRPr="00350B2B" w:rsidRDefault="00A0454C" w:rsidP="006541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350B2B">
        <w:rPr>
          <w:rFonts w:ascii="Arial" w:hAnsi="Arial" w:cs="Arial"/>
          <w:bCs/>
        </w:rPr>
        <w:t>O STF, tem entendimento sumulado vinculante de número 28, sobre o tema:</w:t>
      </w:r>
    </w:p>
    <w:p w:rsidR="00A0454C" w:rsidRPr="009836C5" w:rsidRDefault="0065418E" w:rsidP="00350B2B">
      <w:pPr>
        <w:pStyle w:val="NormalWeb"/>
        <w:jc w:val="both"/>
        <w:rPr>
          <w:rFonts w:asciiTheme="minorHAnsi" w:hAnsiTheme="minorHAnsi" w:cs="Arial"/>
          <w:sz w:val="22"/>
        </w:rPr>
      </w:pPr>
      <w:r w:rsidRPr="009836C5">
        <w:rPr>
          <w:rFonts w:asciiTheme="minorHAnsi" w:hAnsiTheme="minorHAnsi" w:cs="Arial"/>
          <w:sz w:val="22"/>
        </w:rPr>
        <w:t>“</w:t>
      </w:r>
      <w:r w:rsidR="00A0454C" w:rsidRPr="009836C5">
        <w:rPr>
          <w:rFonts w:asciiTheme="minorHAnsi" w:hAnsiTheme="minorHAnsi" w:cs="Arial"/>
          <w:sz w:val="22"/>
        </w:rPr>
        <w:t>É inconstitucional a exigência de depósito prévio como requisito de admissibilidade de ação judicial na qual se pretenda discutir a exigibilidade de crédito tributário.</w:t>
      </w:r>
      <w:r w:rsidRPr="009836C5">
        <w:rPr>
          <w:rFonts w:asciiTheme="minorHAnsi" w:hAnsiTheme="minorHAnsi" w:cs="Arial"/>
          <w:sz w:val="22"/>
        </w:rPr>
        <w:t>”</w:t>
      </w:r>
    </w:p>
    <w:p w:rsidR="00190F2A" w:rsidRPr="00190F2A" w:rsidRDefault="00190F2A" w:rsidP="00190F2A">
      <w:pPr>
        <w:pStyle w:val="NormalWeb"/>
        <w:rPr>
          <w:rFonts w:ascii="Arial" w:hAnsi="Arial" w:cs="Arial"/>
          <w:bCs/>
        </w:rPr>
      </w:pPr>
      <w:r w:rsidRPr="00190F2A">
        <w:rPr>
          <w:rFonts w:ascii="Arial" w:hAnsi="Arial" w:cs="Arial"/>
        </w:rPr>
        <w:t xml:space="preserve">Nessa mesma linha a </w:t>
      </w:r>
      <w:r w:rsidRPr="00190F2A">
        <w:rPr>
          <w:rFonts w:ascii="Arial" w:hAnsi="Arial" w:cs="Arial"/>
          <w:bCs/>
        </w:rPr>
        <w:t>Súmula Vinculante 21:</w:t>
      </w:r>
    </w:p>
    <w:p w:rsidR="00190F2A" w:rsidRPr="009836C5" w:rsidRDefault="00335D9D" w:rsidP="00916B9C">
      <w:pPr>
        <w:pStyle w:val="NormalWeb"/>
        <w:jc w:val="both"/>
        <w:rPr>
          <w:rFonts w:asciiTheme="minorHAnsi" w:hAnsiTheme="minorHAnsi" w:cs="Arial"/>
          <w:sz w:val="22"/>
        </w:rPr>
      </w:pPr>
      <w:r w:rsidRPr="009836C5">
        <w:rPr>
          <w:rFonts w:asciiTheme="minorHAnsi" w:hAnsiTheme="minorHAnsi" w:cs="Arial"/>
          <w:sz w:val="22"/>
        </w:rPr>
        <w:t>“</w:t>
      </w:r>
      <w:r w:rsidR="00190F2A" w:rsidRPr="009836C5">
        <w:rPr>
          <w:rFonts w:asciiTheme="minorHAnsi" w:hAnsiTheme="minorHAnsi" w:cs="Arial"/>
          <w:sz w:val="22"/>
        </w:rPr>
        <w:t>É inconstitucional a exigência de depósito ou arrolamento prévios de dinheiro ou bens para admissibilidade de recurso administrativo.</w:t>
      </w:r>
      <w:r w:rsidRPr="009836C5">
        <w:rPr>
          <w:rFonts w:asciiTheme="minorHAnsi" w:hAnsiTheme="minorHAnsi" w:cs="Arial"/>
          <w:sz w:val="22"/>
        </w:rPr>
        <w:t>”</w:t>
      </w:r>
    </w:p>
    <w:p w:rsidR="009836C5" w:rsidRPr="00AF24DE" w:rsidRDefault="00F34B6A" w:rsidP="009836C5">
      <w:pPr>
        <w:pStyle w:val="NormalWeb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A j</w:t>
      </w:r>
      <w:r w:rsidR="009836C5" w:rsidRPr="00AF24DE">
        <w:rPr>
          <w:rFonts w:ascii="Arial" w:hAnsi="Arial" w:cs="Arial"/>
          <w:bCs/>
          <w:szCs w:val="22"/>
        </w:rPr>
        <w:t xml:space="preserve">urisprudência posterior </w:t>
      </w:r>
      <w:r>
        <w:rPr>
          <w:rFonts w:ascii="Arial" w:hAnsi="Arial" w:cs="Arial"/>
          <w:bCs/>
          <w:szCs w:val="22"/>
        </w:rPr>
        <w:t xml:space="preserve">da Corte Máxima </w:t>
      </w:r>
      <w:r w:rsidR="009836C5" w:rsidRPr="00AF24DE">
        <w:rPr>
          <w:rFonts w:ascii="Arial" w:hAnsi="Arial" w:cs="Arial"/>
          <w:bCs/>
          <w:szCs w:val="22"/>
        </w:rPr>
        <w:t>ao</w:t>
      </w:r>
      <w:r>
        <w:rPr>
          <w:rFonts w:ascii="Arial" w:hAnsi="Arial" w:cs="Arial"/>
          <w:bCs/>
          <w:szCs w:val="22"/>
        </w:rPr>
        <w:t>s</w:t>
      </w:r>
      <w:r w:rsidR="009836C5" w:rsidRPr="00AF24DE">
        <w:rPr>
          <w:rFonts w:ascii="Arial" w:hAnsi="Arial" w:cs="Arial"/>
          <w:bCs/>
          <w:szCs w:val="22"/>
        </w:rPr>
        <w:t xml:space="preserve"> enunciado</w:t>
      </w:r>
      <w:r>
        <w:rPr>
          <w:rFonts w:ascii="Arial" w:hAnsi="Arial" w:cs="Arial"/>
          <w:bCs/>
          <w:szCs w:val="22"/>
        </w:rPr>
        <w:t>s</w:t>
      </w:r>
      <w:r w:rsidR="00AF24DE">
        <w:rPr>
          <w:rFonts w:ascii="Arial" w:hAnsi="Arial" w:cs="Arial"/>
          <w:bCs/>
          <w:szCs w:val="22"/>
        </w:rPr>
        <w:t xml:space="preserve"> segue</w:t>
      </w:r>
      <w:r>
        <w:rPr>
          <w:rFonts w:ascii="Arial" w:hAnsi="Arial" w:cs="Arial"/>
          <w:bCs/>
          <w:szCs w:val="22"/>
        </w:rPr>
        <w:t>m</w:t>
      </w:r>
      <w:r w:rsidR="00AF24DE">
        <w:rPr>
          <w:rFonts w:ascii="Arial" w:hAnsi="Arial" w:cs="Arial"/>
          <w:bCs/>
          <w:szCs w:val="22"/>
        </w:rPr>
        <w:t xml:space="preserve"> no mesmo sentido:</w:t>
      </w:r>
    </w:p>
    <w:p w:rsidR="009836C5" w:rsidRPr="009836C5" w:rsidRDefault="009836C5" w:rsidP="009836C5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9836C5">
        <w:rPr>
          <w:rStyle w:val="Forte"/>
          <w:rFonts w:asciiTheme="minorHAnsi" w:hAnsiTheme="minorHAnsi"/>
          <w:sz w:val="22"/>
          <w:szCs w:val="22"/>
        </w:rPr>
        <w:t>Inadmissibilidade da reclamação: garantia do juízo para recebimento dos embargos do devedor </w:t>
      </w:r>
    </w:p>
    <w:p w:rsidR="009836C5" w:rsidRPr="009836C5" w:rsidRDefault="009836C5" w:rsidP="009836C5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9836C5">
        <w:rPr>
          <w:rFonts w:asciiTheme="minorHAnsi" w:hAnsiTheme="minorHAnsi"/>
          <w:sz w:val="22"/>
          <w:szCs w:val="22"/>
        </w:rPr>
        <w:lastRenderedPageBreak/>
        <w:t xml:space="preserve">"2. No julgamento da </w:t>
      </w:r>
      <w:hyperlink r:id="rId9" w:history="1">
        <w:r w:rsidRPr="009836C5">
          <w:rPr>
            <w:rStyle w:val="Hyperlink"/>
            <w:rFonts w:asciiTheme="minorHAnsi" w:hAnsiTheme="minorHAnsi"/>
            <w:sz w:val="22"/>
            <w:szCs w:val="22"/>
          </w:rPr>
          <w:t>ADI 1.074</w:t>
        </w:r>
      </w:hyperlink>
      <w:r w:rsidRPr="009836C5">
        <w:rPr>
          <w:rFonts w:asciiTheme="minorHAnsi" w:hAnsiTheme="minorHAnsi"/>
          <w:sz w:val="22"/>
          <w:szCs w:val="22"/>
        </w:rPr>
        <w:t>, o Supremo Tribunal Federal, com fundamento no princípio da inafastabilidade de jurisdição (art. 5º, XXXV, da CRFB/1988), declarou inconstitucional o art. 19, caput, da Lei nº 8.870/1994, que condicionava o ajuizamento de ações judiciais relativas a débitos para com o INSS ao 'depósito preparatório do valor do mesmo, monetariamente corrigido até a data de efetivação, acrescido dos juros, multa de mora e demais encargos'. O referido precedente é o único que ensejou a PSV 37, que resultou na edição da Súmula Vinculante 28, assim redigida: (...). 3. Por sua vez, a decisão reclamada possui o seguinte teor: 'O § 1º, III do art. 16 da Lei nº 6.830/80, condiciona a admissibilidade dos embargos do Executado à prévia garantia da execução. Assim, intime-se o embargante para, querendo, oferecer garantia à execução, no prazo de 10 (dez) dias. Decorrido o prazo assinalado sem manifestação profícua, voltem-me conclusos.' 4. Assim, ao contrário do que sustenta a inicial, a decisão reclamada não está propriamente a exigir depósito, e sim garantia da execução, gênero do qual o depósito é apenas uma espécie, como se vê do art. 9º da Lei nº 6.830/1980 e do art. 655 do CPC. Eventual rejeição de bens ofertados, por iliquidez, não pode ser equiparada à exigência de depósito prévio, e pode ser objeto de questionamento na sede própria, valendo observar que reclamação não é sucedâneo recursal." (</w:t>
      </w:r>
      <w:hyperlink r:id="rId10" w:history="1">
        <w:r w:rsidRPr="009836C5">
          <w:rPr>
            <w:rStyle w:val="Hyperlink"/>
            <w:rFonts w:asciiTheme="minorHAnsi" w:hAnsiTheme="minorHAnsi"/>
            <w:sz w:val="22"/>
            <w:szCs w:val="22"/>
          </w:rPr>
          <w:t>Rcl 20617 AgR</w:t>
        </w:r>
      </w:hyperlink>
      <w:r w:rsidRPr="009836C5">
        <w:rPr>
          <w:rFonts w:asciiTheme="minorHAnsi" w:hAnsiTheme="minorHAnsi"/>
          <w:sz w:val="22"/>
          <w:szCs w:val="22"/>
        </w:rPr>
        <w:t>, Relator Ministro Roberto Barroso, Primeira Turma, julgamento em 2.2.2016, DJe de 24.2.2016)</w:t>
      </w:r>
    </w:p>
    <w:p w:rsidR="009836C5" w:rsidRPr="009836C5" w:rsidRDefault="009836C5" w:rsidP="009836C5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9836C5">
        <w:rPr>
          <w:rFonts w:asciiTheme="minorHAnsi" w:hAnsiTheme="minorHAnsi"/>
          <w:sz w:val="22"/>
          <w:szCs w:val="22"/>
        </w:rPr>
        <w:t xml:space="preserve">"Nesta reclamação, de outra banda, o ora agravante se insurge contra decisão que determinou sua inclusão no polo passivo de execução fiscal. Questiona a exigência de garantia do juízo para o ajuizamento de embargos à execução, conforme previsão do art. 16, § 1º, da Lei 6.830/1980, que é coisa diversa daquela versada na Súmula Vinculante 28. O art. 9º, do mesmo diploma legal, prevê as seguintes formas de garantia do juízo: (...). O que pretende o reclamante, em última análise, é a declaração de inconstitucionalidade do art. 16, § 1º, da Lei 6.830/1980, providência inviável na estreita via da reclamação. Nesse mesmo sentido, menciono: </w:t>
      </w:r>
      <w:hyperlink r:id="rId11" w:tgtFrame="_blank" w:history="1">
        <w:r w:rsidRPr="009836C5">
          <w:rPr>
            <w:rStyle w:val="Hyperlink"/>
            <w:rFonts w:asciiTheme="minorHAnsi" w:hAnsiTheme="minorHAnsi"/>
            <w:sz w:val="22"/>
            <w:szCs w:val="22"/>
          </w:rPr>
          <w:t>Rcl 11.761/ES</w:t>
        </w:r>
      </w:hyperlink>
      <w:r w:rsidRPr="009836C5">
        <w:rPr>
          <w:rFonts w:asciiTheme="minorHAnsi" w:hAnsiTheme="minorHAnsi"/>
          <w:sz w:val="22"/>
          <w:szCs w:val="22"/>
        </w:rPr>
        <w:t xml:space="preserve">, Rel. Min. Rosa Weber e </w:t>
      </w:r>
      <w:hyperlink r:id="rId12" w:tgtFrame="_blank" w:history="1">
        <w:r w:rsidRPr="009836C5">
          <w:rPr>
            <w:rStyle w:val="Hyperlink"/>
            <w:rFonts w:asciiTheme="minorHAnsi" w:hAnsiTheme="minorHAnsi"/>
            <w:sz w:val="22"/>
            <w:szCs w:val="22"/>
          </w:rPr>
          <w:t>Rcl. 14.239/RS</w:t>
        </w:r>
      </w:hyperlink>
      <w:r w:rsidRPr="009836C5">
        <w:rPr>
          <w:rFonts w:asciiTheme="minorHAnsi" w:hAnsiTheme="minorHAnsi"/>
          <w:sz w:val="22"/>
          <w:szCs w:val="22"/>
        </w:rPr>
        <w:t>, Rel. Min. Joaquim Barbosa. (</w:t>
      </w:r>
      <w:hyperlink r:id="rId13" w:history="1">
        <w:r w:rsidRPr="009836C5">
          <w:rPr>
            <w:rStyle w:val="Hyperlink"/>
            <w:rFonts w:asciiTheme="minorHAnsi" w:hAnsiTheme="minorHAnsi"/>
            <w:sz w:val="22"/>
            <w:szCs w:val="22"/>
          </w:rPr>
          <w:t>Rcl 19724 AgR</w:t>
        </w:r>
      </w:hyperlink>
      <w:r w:rsidRPr="009836C5">
        <w:rPr>
          <w:rFonts w:asciiTheme="minorHAnsi" w:hAnsiTheme="minorHAnsi"/>
          <w:sz w:val="22"/>
          <w:szCs w:val="22"/>
        </w:rPr>
        <w:t>, Relator Ministro Luiz Fux, Primeira Turma, julgamento em 17.3.2015, DJe de 7.4.2015)</w:t>
      </w:r>
    </w:p>
    <w:p w:rsidR="009836C5" w:rsidRPr="009836C5" w:rsidRDefault="009836C5" w:rsidP="009836C5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9836C5">
        <w:rPr>
          <w:rStyle w:val="Forte"/>
          <w:rFonts w:asciiTheme="minorHAnsi" w:hAnsiTheme="minorHAnsi"/>
          <w:sz w:val="22"/>
          <w:szCs w:val="22"/>
        </w:rPr>
        <w:t>Ação de depósito fiscal: medida equivalente a exigência de depósito prévio como requisito de admissibilidade de ação judicial</w:t>
      </w:r>
    </w:p>
    <w:p w:rsidR="009836C5" w:rsidRPr="009836C5" w:rsidRDefault="009836C5" w:rsidP="009836C5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9836C5">
        <w:rPr>
          <w:rFonts w:asciiTheme="minorHAnsi" w:hAnsiTheme="minorHAnsi"/>
          <w:sz w:val="22"/>
          <w:szCs w:val="22"/>
        </w:rPr>
        <w:t xml:space="preserve">"No mérito, a Corte explicou que a lei: a) cria a ação de depósito fiscal, com o escopo primordial de coagir, sob pena de prisão, o devedor a depositar o valor referente à dívida na contestação, ou após a sentença, no prazo de 24 horas; b) chancela a possibilidade de submeter o devedor a sofrer processo judicial de depósito, sem que tenha ocorrido a finalização do processo administrativo fiscal; e c) dispõe sobre a proibição de, em se tratando de coisas fungíveis, seguir-se o disposto sobre o mútuo (CC/1916, art. 1280; CC/2002, art. 645), com a submissão do devedor a regime mais gravoso de pagamento, em face dos postulados da proporcionalidade, do limite do direito de propriedade e do devido processo legal. (...) É corolário do princípio do devido processo legal que aos litigantes sejam assegurados o contraditório e a ampla defesa, com os meios e recursos a eles inerentes. O postulado também se aplica aos processos que contenham relação jurídico-tributária, razão pela qual aquela medida vulnera a garantia do contribuinte ao devido processo legal. Nesse sentido, determinar que a contestação seja apresentada com o depósito do numerário sob pena de revelia equivale a exigir depósito prévio como requisito de admissibilidade de ação judicial, o que é manifestamente proibido pela Suprema Corte, nos termos da Súmula Vinculante 28." (ADI 1055, Relator Ministro Gilmar Mendes, Tribunal Pleno, julgamento em 15.12.2016, </w:t>
      </w:r>
      <w:hyperlink r:id="rId14" w:tgtFrame="_blank" w:history="1">
        <w:r w:rsidRPr="009836C5">
          <w:rPr>
            <w:rStyle w:val="Hyperlink"/>
            <w:rFonts w:asciiTheme="minorHAnsi" w:hAnsiTheme="minorHAnsi"/>
            <w:sz w:val="22"/>
            <w:szCs w:val="22"/>
          </w:rPr>
          <w:t>Informativo 851</w:t>
        </w:r>
      </w:hyperlink>
      <w:r w:rsidRPr="009836C5">
        <w:rPr>
          <w:rFonts w:asciiTheme="minorHAnsi" w:hAnsiTheme="minorHAnsi"/>
          <w:sz w:val="22"/>
          <w:szCs w:val="22"/>
        </w:rPr>
        <w:t>)</w:t>
      </w:r>
    </w:p>
    <w:p w:rsidR="00335D9D" w:rsidRPr="00916B9C" w:rsidRDefault="00335D9D" w:rsidP="00916B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0E6418" w:rsidRPr="00967F4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  <w:r w:rsidRPr="00967F48">
        <w:rPr>
          <w:rFonts w:ascii="ArialMT" w:hAnsi="ArialMT" w:cs="ArialMT"/>
          <w:color w:val="FF0000"/>
          <w:sz w:val="24"/>
          <w:szCs w:val="24"/>
        </w:rPr>
        <w:lastRenderedPageBreak/>
        <w:t>b) Os embargos à execução fiscal têm efeito suspensivo? Caso afirmativo, em que circunstâncias? Responder a pergunta analisando criticamente os anexos VII, VIII e IX.</w:t>
      </w:r>
    </w:p>
    <w:p w:rsidR="000E641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792780">
        <w:rPr>
          <w:rFonts w:ascii="Arial" w:hAnsi="Arial" w:cs="Arial"/>
          <w:b/>
          <w:sz w:val="24"/>
        </w:rPr>
        <w:t>R.</w:t>
      </w:r>
    </w:p>
    <w:p w:rsidR="00152FFE" w:rsidRPr="002763A4" w:rsidRDefault="00152FFE" w:rsidP="00152FFE">
      <w:pPr>
        <w:pStyle w:val="NormalWeb"/>
        <w:jc w:val="both"/>
        <w:rPr>
          <w:rFonts w:ascii="Arial" w:hAnsi="Arial" w:cs="Arial"/>
          <w:sz w:val="32"/>
        </w:rPr>
      </w:pPr>
      <w:r w:rsidRPr="002763A4">
        <w:rPr>
          <w:rFonts w:ascii="Arial" w:hAnsi="Arial" w:cs="Arial"/>
          <w:szCs w:val="20"/>
        </w:rPr>
        <w:t>O CPC</w:t>
      </w:r>
      <w:r w:rsidR="002763A4">
        <w:rPr>
          <w:rFonts w:ascii="Arial" w:hAnsi="Arial" w:cs="Arial"/>
          <w:szCs w:val="20"/>
        </w:rPr>
        <w:t>/2015</w:t>
      </w:r>
      <w:r w:rsidRPr="002763A4">
        <w:rPr>
          <w:rFonts w:ascii="Arial" w:hAnsi="Arial" w:cs="Arial"/>
          <w:szCs w:val="20"/>
        </w:rPr>
        <w:t xml:space="preserve"> manteve em seu artigo 525, §</w:t>
      </w:r>
      <w:r w:rsidR="002763A4">
        <w:rPr>
          <w:rFonts w:ascii="Arial" w:hAnsi="Arial" w:cs="Arial"/>
          <w:szCs w:val="20"/>
        </w:rPr>
        <w:t xml:space="preserve"> </w:t>
      </w:r>
      <w:r w:rsidRPr="002763A4">
        <w:rPr>
          <w:rFonts w:ascii="Arial" w:hAnsi="Arial" w:cs="Arial"/>
          <w:szCs w:val="20"/>
        </w:rPr>
        <w:t xml:space="preserve">6º a alteração proposta </w:t>
      </w:r>
      <w:r w:rsidR="002763A4">
        <w:rPr>
          <w:rFonts w:ascii="Arial" w:hAnsi="Arial" w:cs="Arial"/>
          <w:szCs w:val="20"/>
        </w:rPr>
        <w:t>pe</w:t>
      </w:r>
      <w:r w:rsidRPr="002763A4">
        <w:rPr>
          <w:rFonts w:ascii="Arial" w:hAnsi="Arial" w:cs="Arial"/>
          <w:szCs w:val="20"/>
        </w:rPr>
        <w:t xml:space="preserve">la </w:t>
      </w:r>
      <w:hyperlink r:id="rId15" w:tgtFrame="_self" w:history="1">
        <w:r w:rsidRPr="002763A4">
          <w:rPr>
            <w:rStyle w:val="Hyperlink"/>
            <w:rFonts w:ascii="Arial" w:hAnsi="Arial" w:cs="Arial"/>
            <w:color w:val="auto"/>
            <w:szCs w:val="20"/>
            <w:u w:val="none"/>
          </w:rPr>
          <w:t>lei 11.382/06</w:t>
        </w:r>
      </w:hyperlink>
      <w:r w:rsidRPr="002763A4">
        <w:rPr>
          <w:rFonts w:ascii="Arial" w:hAnsi="Arial" w:cs="Arial"/>
          <w:szCs w:val="20"/>
        </w:rPr>
        <w:t xml:space="preserve"> que incluiu o art. 739-A no </w:t>
      </w:r>
      <w:hyperlink r:id="rId16" w:tgtFrame="_self" w:history="1">
        <w:r w:rsidRPr="002763A4">
          <w:rPr>
            <w:rStyle w:val="Hyperlink"/>
            <w:rFonts w:ascii="Arial" w:hAnsi="Arial" w:cs="Arial"/>
            <w:color w:val="auto"/>
            <w:szCs w:val="20"/>
            <w:u w:val="none"/>
          </w:rPr>
          <w:t>CPC/73</w:t>
        </w:r>
      </w:hyperlink>
      <w:r w:rsidRPr="002763A4">
        <w:rPr>
          <w:rFonts w:ascii="Arial" w:hAnsi="Arial" w:cs="Arial"/>
          <w:szCs w:val="20"/>
        </w:rPr>
        <w:t>.</w:t>
      </w:r>
    </w:p>
    <w:p w:rsidR="00DB1F0F" w:rsidRDefault="00152FFE" w:rsidP="00152FFE">
      <w:pPr>
        <w:pStyle w:val="NormalWeb"/>
        <w:jc w:val="both"/>
        <w:rPr>
          <w:rFonts w:ascii="Arial" w:hAnsi="Arial" w:cs="Arial"/>
          <w:szCs w:val="20"/>
        </w:rPr>
      </w:pPr>
      <w:r w:rsidRPr="002763A4">
        <w:rPr>
          <w:rFonts w:ascii="Arial" w:hAnsi="Arial" w:cs="Arial"/>
          <w:szCs w:val="20"/>
        </w:rPr>
        <w:t xml:space="preserve">O referido artigo 739-A alterou o disposto no CPC/73 e passou a indicar que os embargos à execução opostos pelo devedor não possuiriam, em regra, efeito suspensivo, sendo que caberia ao juiz, observando o </w:t>
      </w:r>
      <w:r w:rsidRPr="002763A4">
        <w:rPr>
          <w:rStyle w:val="nfase"/>
          <w:rFonts w:ascii="Arial" w:hAnsi="Arial" w:cs="Arial"/>
          <w:szCs w:val="20"/>
        </w:rPr>
        <w:t>fumu boni iuris</w:t>
      </w:r>
      <w:r w:rsidRPr="002763A4">
        <w:rPr>
          <w:rFonts w:ascii="Arial" w:hAnsi="Arial" w:cs="Arial"/>
          <w:szCs w:val="20"/>
        </w:rPr>
        <w:t xml:space="preserve"> e o </w:t>
      </w:r>
      <w:r w:rsidRPr="002763A4">
        <w:rPr>
          <w:rStyle w:val="nfase"/>
          <w:rFonts w:ascii="Arial" w:hAnsi="Arial" w:cs="Arial"/>
          <w:szCs w:val="20"/>
        </w:rPr>
        <w:t>periculum in mora</w:t>
      </w:r>
      <w:r w:rsidRPr="002763A4">
        <w:rPr>
          <w:rFonts w:ascii="Arial" w:hAnsi="Arial" w:cs="Arial"/>
          <w:szCs w:val="20"/>
        </w:rPr>
        <w:t>, além da garantia do juízo atribuir à peça defensiva efeito suspensivo e, portanto, paralisar a execução fiscal.</w:t>
      </w:r>
    </w:p>
    <w:p w:rsidR="00152FFE" w:rsidRPr="00152FFE" w:rsidRDefault="00152FFE" w:rsidP="00152FFE">
      <w:pPr>
        <w:pStyle w:val="NormalWeb"/>
        <w:jc w:val="both"/>
        <w:rPr>
          <w:rFonts w:ascii="Arial" w:hAnsi="Arial" w:cs="Arial"/>
          <w:szCs w:val="20"/>
        </w:rPr>
      </w:pPr>
      <w:r w:rsidRPr="002763A4">
        <w:rPr>
          <w:rFonts w:ascii="Arial" w:hAnsi="Arial" w:cs="Arial"/>
          <w:szCs w:val="20"/>
        </w:rPr>
        <w:t xml:space="preserve">O </w:t>
      </w:r>
      <w:hyperlink r:id="rId17" w:tgtFrame="_self" w:history="1">
        <w:r w:rsidRPr="002763A4">
          <w:rPr>
            <w:rStyle w:val="Hyperlink"/>
            <w:rFonts w:ascii="Arial" w:hAnsi="Arial" w:cs="Arial"/>
            <w:color w:val="auto"/>
            <w:szCs w:val="20"/>
            <w:u w:val="none"/>
          </w:rPr>
          <w:t>CPC/15</w:t>
        </w:r>
      </w:hyperlink>
      <w:r w:rsidRPr="002763A4">
        <w:rPr>
          <w:rFonts w:ascii="Arial" w:hAnsi="Arial" w:cs="Arial"/>
          <w:szCs w:val="20"/>
        </w:rPr>
        <w:t xml:space="preserve">, como já mencionado, manteve a alteração formulada em 2006, a </w:t>
      </w:r>
      <w:r w:rsidRPr="00152FFE">
        <w:rPr>
          <w:rFonts w:ascii="Arial" w:hAnsi="Arial" w:cs="Arial"/>
          <w:szCs w:val="20"/>
        </w:rPr>
        <w:t>qual passou a atribuir o efeito suspensivo aos embargos opostos somente após a apreciação do magistrado a respeito da necessidade de dano de difícil reparação. Vejamos:</w:t>
      </w:r>
    </w:p>
    <w:p w:rsidR="00152FFE" w:rsidRPr="002763A4" w:rsidRDefault="00152FFE" w:rsidP="00152FFE">
      <w:pPr>
        <w:pStyle w:val="NormalWeb"/>
        <w:jc w:val="both"/>
        <w:rPr>
          <w:rFonts w:asciiTheme="minorHAnsi" w:hAnsiTheme="minorHAnsi" w:cs="Arial"/>
          <w:sz w:val="22"/>
          <w:szCs w:val="20"/>
        </w:rPr>
      </w:pPr>
      <w:r w:rsidRPr="002763A4">
        <w:rPr>
          <w:rFonts w:asciiTheme="minorHAnsi" w:hAnsiTheme="minorHAnsi" w:cs="Arial"/>
          <w:sz w:val="22"/>
          <w:szCs w:val="20"/>
        </w:rPr>
        <w:t>Art. 525. Transcorrido o prazo previsto no art. 523 sem o pagamento voluntário, inicia-se o prazo de 15 dias para que o executado, independentemente de penhora ou nova intimação, apresente, nos próprios autos, sua impugnação.(...)</w:t>
      </w:r>
    </w:p>
    <w:p w:rsidR="00152FFE" w:rsidRDefault="00152FFE" w:rsidP="00152FFE">
      <w:pPr>
        <w:pStyle w:val="NormalWeb"/>
        <w:jc w:val="both"/>
        <w:rPr>
          <w:rFonts w:asciiTheme="minorHAnsi" w:hAnsiTheme="minorHAnsi" w:cs="Arial"/>
          <w:sz w:val="22"/>
          <w:szCs w:val="20"/>
        </w:rPr>
      </w:pPr>
      <w:r w:rsidRPr="002763A4">
        <w:rPr>
          <w:rStyle w:val="Forte"/>
          <w:rFonts w:asciiTheme="minorHAnsi" w:hAnsiTheme="minorHAnsi" w:cs="Arial"/>
          <w:sz w:val="22"/>
          <w:szCs w:val="20"/>
        </w:rPr>
        <w:t>§ 6</w:t>
      </w:r>
      <w:r w:rsidRPr="002763A4">
        <w:rPr>
          <w:rStyle w:val="Forte"/>
          <w:rFonts w:asciiTheme="minorHAnsi" w:hAnsiTheme="minorHAnsi" w:cs="Arial"/>
          <w:sz w:val="22"/>
          <w:szCs w:val="20"/>
          <w:vertAlign w:val="superscript"/>
        </w:rPr>
        <w:t>o</w:t>
      </w:r>
      <w:r w:rsidRPr="002763A4">
        <w:rPr>
          <w:rStyle w:val="Forte"/>
          <w:rFonts w:asciiTheme="minorHAnsi" w:hAnsiTheme="minorHAnsi" w:cs="Arial"/>
          <w:sz w:val="22"/>
          <w:szCs w:val="20"/>
        </w:rPr>
        <w:t xml:space="preserve"> A apresentação de impugnação não impede a prática dos atos executivos, inclusive os de expropriação, podendo o juiz, a requerimento do executado e desde que garantido o juízo com penhora, caução ou depósito suficientes, atribuir-lhe efeito suspensivo, se seus fundamentos forem relevantes e se o prosseguimento da execução for manifestamente suscetível de causar ao executado grave dano de difícil ou incerta reparação.</w:t>
      </w:r>
      <w:r w:rsidR="002763A4">
        <w:rPr>
          <w:rFonts w:asciiTheme="minorHAnsi" w:hAnsiTheme="minorHAnsi" w:cs="Arial"/>
          <w:sz w:val="22"/>
          <w:szCs w:val="20"/>
        </w:rPr>
        <w:t xml:space="preserve"> </w:t>
      </w:r>
    </w:p>
    <w:p w:rsidR="00152FFE" w:rsidRPr="00152FFE" w:rsidRDefault="002763A4" w:rsidP="00152FFE">
      <w:pPr>
        <w:pStyle w:val="NormalWeb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 Professor</w:t>
      </w:r>
      <w:r w:rsidR="00152FFE" w:rsidRPr="00152FFE">
        <w:rPr>
          <w:rFonts w:ascii="Arial" w:hAnsi="Arial" w:cs="Arial"/>
          <w:szCs w:val="20"/>
        </w:rPr>
        <w:t xml:space="preserve"> José Carneiro da Cunha preleciona</w:t>
      </w:r>
      <w:r>
        <w:rPr>
          <w:rFonts w:ascii="Arial" w:hAnsi="Arial" w:cs="Arial"/>
          <w:szCs w:val="20"/>
        </w:rPr>
        <w:t xml:space="preserve"> que</w:t>
      </w:r>
      <w:r w:rsidR="00152FFE" w:rsidRPr="00152FFE">
        <w:rPr>
          <w:rFonts w:ascii="Arial" w:hAnsi="Arial" w:cs="Arial"/>
          <w:szCs w:val="20"/>
        </w:rPr>
        <w:t xml:space="preserve">: </w:t>
      </w:r>
    </w:p>
    <w:p w:rsidR="00152FFE" w:rsidRPr="002763A4" w:rsidRDefault="00152FFE" w:rsidP="00152FFE">
      <w:pPr>
        <w:pStyle w:val="NormalWeb"/>
        <w:jc w:val="both"/>
        <w:rPr>
          <w:rFonts w:asciiTheme="minorHAnsi" w:hAnsiTheme="minorHAnsi" w:cs="Arial"/>
          <w:sz w:val="22"/>
          <w:szCs w:val="20"/>
        </w:rPr>
      </w:pPr>
      <w:r w:rsidRPr="002763A4">
        <w:rPr>
          <w:rFonts w:asciiTheme="minorHAnsi" w:hAnsiTheme="minorHAnsi" w:cs="Arial"/>
          <w:sz w:val="22"/>
          <w:szCs w:val="20"/>
        </w:rPr>
        <w:t>"A lei 6.830/80 não trata dos efeitos decorrentes da propositura dos embargos o executado. Incidem, diante disso, as novas regras contidas no CPC.</w:t>
      </w:r>
      <w:r w:rsidRPr="002763A4">
        <w:rPr>
          <w:rStyle w:val="Forte"/>
          <w:rFonts w:asciiTheme="minorHAnsi" w:hAnsiTheme="minorHAnsi" w:cs="Arial"/>
          <w:sz w:val="22"/>
          <w:szCs w:val="20"/>
        </w:rPr>
        <w:t xml:space="preserve"> Significa, então, que, ajuizados os embargos, a execução fiscal não estará, automaticamente, suspensa. Os embargos não suspendem mais a execução fiscal, cabendo ao juiz, diante de requerimento do executado e convencendo-se da relevância do argumento e do risco de dano, atribuir aos embargos o efeito suspensivo</w:t>
      </w:r>
      <w:r w:rsidRPr="002763A4">
        <w:rPr>
          <w:rFonts w:asciiTheme="minorHAnsi" w:hAnsiTheme="minorHAnsi" w:cs="Arial"/>
          <w:sz w:val="22"/>
          <w:szCs w:val="20"/>
        </w:rPr>
        <w:t>. Em outras palavras, a execução fiscal passará a ser suspensa, não com a propositura dos embargos, mas sim com a determinação judicial de que os embargos merecem, no caso concreto, ser recebidos co</w:t>
      </w:r>
      <w:r w:rsidR="002763A4">
        <w:rPr>
          <w:rFonts w:asciiTheme="minorHAnsi" w:hAnsiTheme="minorHAnsi" w:cs="Arial"/>
          <w:sz w:val="22"/>
          <w:szCs w:val="20"/>
        </w:rPr>
        <w:t xml:space="preserve">m efeito suspensivo." </w:t>
      </w:r>
    </w:p>
    <w:p w:rsidR="00152FFE" w:rsidRPr="001B31DB" w:rsidRDefault="00152FFE" w:rsidP="00152FFE">
      <w:pPr>
        <w:pStyle w:val="NormalWeb"/>
        <w:jc w:val="both"/>
        <w:rPr>
          <w:rFonts w:ascii="Arial" w:hAnsi="Arial" w:cs="Arial"/>
          <w:szCs w:val="20"/>
        </w:rPr>
      </w:pPr>
      <w:r w:rsidRPr="001B31DB">
        <w:rPr>
          <w:rFonts w:ascii="Arial" w:hAnsi="Arial" w:cs="Arial"/>
          <w:szCs w:val="20"/>
        </w:rPr>
        <w:t xml:space="preserve">A jurisprudência, por sua vez, passou a aplicar o disposto no CPC às execuções fiscais, sendo que referido posicionamento fora sedimentado pelo STJ no julgamento do </w:t>
      </w:r>
      <w:hyperlink r:id="rId18" w:tgtFrame="_self" w:history="1">
        <w:r w:rsidRPr="001B31DB">
          <w:rPr>
            <w:rStyle w:val="Hyperlink"/>
            <w:rFonts w:ascii="Arial" w:hAnsi="Arial" w:cs="Arial"/>
            <w:color w:val="auto"/>
            <w:szCs w:val="20"/>
            <w:u w:val="none"/>
          </w:rPr>
          <w:t>REsp 1.272.827/PE</w:t>
        </w:r>
      </w:hyperlink>
      <w:r w:rsidRPr="001B31DB">
        <w:rPr>
          <w:rFonts w:ascii="Arial" w:hAnsi="Arial" w:cs="Arial"/>
          <w:szCs w:val="20"/>
        </w:rPr>
        <w:t xml:space="preserve"> sob o rito dos recursos representativos de controvérsia, nos termos do artigo 1.036 do CPC/15).</w:t>
      </w:r>
    </w:p>
    <w:p w:rsidR="00152FFE" w:rsidRPr="00152FFE" w:rsidRDefault="00152FFE" w:rsidP="00152FFE">
      <w:pPr>
        <w:pStyle w:val="NormalWeb"/>
        <w:jc w:val="both"/>
        <w:rPr>
          <w:rFonts w:ascii="Arial" w:hAnsi="Arial" w:cs="Arial"/>
          <w:szCs w:val="20"/>
        </w:rPr>
      </w:pPr>
      <w:r w:rsidRPr="00152FFE">
        <w:rPr>
          <w:rFonts w:ascii="Arial" w:hAnsi="Arial" w:cs="Arial"/>
          <w:szCs w:val="20"/>
        </w:rPr>
        <w:t>Muito embora o STJ tenha sedimentado o posicionamento de que o efeito suspensivo somente poderá ser atribuído aos embargos à execução fiscal se preenchidos os três requisitos indicados no atual art. 525, §6º do CPC, entendemos que referido posicionamento viola o disposto na lei de Execuções Fiscais.</w:t>
      </w:r>
    </w:p>
    <w:p w:rsidR="000E6418" w:rsidRPr="00967F4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20"/>
          <w:szCs w:val="20"/>
        </w:rPr>
      </w:pPr>
      <w:r w:rsidRPr="00967F48">
        <w:rPr>
          <w:rFonts w:ascii="ArialMT" w:hAnsi="ArialMT" w:cs="ArialMT"/>
          <w:color w:val="FF0000"/>
          <w:sz w:val="24"/>
          <w:szCs w:val="24"/>
        </w:rPr>
        <w:lastRenderedPageBreak/>
        <w:t xml:space="preserve">7. Na ação de consignação em pagamento, o que extingue a obrigação tributária: (i) a consignação em pagamento; (ii) a conversão em renda do valor consignado; (iii) a sentença que julga procedente a ação de consignação em pagamento; (iv) a decisão judicial de procedência da ação transitada em julgado? </w:t>
      </w:r>
    </w:p>
    <w:p w:rsidR="000E641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792780">
        <w:rPr>
          <w:rFonts w:ascii="Arial" w:hAnsi="Arial" w:cs="Arial"/>
          <w:b/>
          <w:sz w:val="24"/>
        </w:rPr>
        <w:t>R.</w:t>
      </w:r>
    </w:p>
    <w:p w:rsidR="005228D6" w:rsidRPr="00EF2761" w:rsidRDefault="005228D6" w:rsidP="005228D6">
      <w:pPr>
        <w:pStyle w:val="NormalWeb"/>
        <w:jc w:val="both"/>
        <w:rPr>
          <w:rFonts w:ascii="Arial" w:hAnsi="Arial" w:cs="Arial"/>
        </w:rPr>
      </w:pPr>
      <w:r w:rsidRPr="00EF2761">
        <w:rPr>
          <w:rFonts w:ascii="Arial" w:hAnsi="Arial" w:cs="Arial"/>
        </w:rPr>
        <w:t>Nos casos previstos em lei, como o de recursar-se o credor a receber a quantia ou coisa devida, e no de o devedor não saber a quem pagar, pode o devedor depositar em juízo a quantia ou a coisa devida, requerendo ao juiz a declaração de extinção da obrigação, em face do pagamento efetuado.  Serve, pois, a ação de consignação em pagamento para a efetivação de depósito judicial com eficácia de pagamento.</w:t>
      </w:r>
    </w:p>
    <w:p w:rsidR="005228D6" w:rsidRDefault="005228D6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5228D6">
        <w:rPr>
          <w:rFonts w:ascii="ArialMT" w:hAnsi="ArialMT" w:cs="ArialMT"/>
          <w:sz w:val="24"/>
          <w:szCs w:val="24"/>
        </w:rPr>
        <w:t>Considera-se pagamento, e extingue a obrigação, o depósito judicial ou em estabelecimento bancário da coisa devida, nos casos e forma legais.</w:t>
      </w:r>
    </w:p>
    <w:p w:rsidR="00EF2761" w:rsidRPr="00EF2761" w:rsidRDefault="00EF2761" w:rsidP="00EF2761">
      <w:pPr>
        <w:pStyle w:val="NormalWeb"/>
        <w:jc w:val="both"/>
        <w:rPr>
          <w:rFonts w:ascii="Arial" w:hAnsi="Arial" w:cs="Arial"/>
        </w:rPr>
      </w:pPr>
      <w:r w:rsidRPr="00EF2761">
        <w:rPr>
          <w:rFonts w:ascii="Arial" w:hAnsi="Arial" w:cs="Arial"/>
        </w:rPr>
        <w:t>A Lei permite o depósito extrajudicial, em estabelecimento bancário situado no lugar do pagamento, no caso de obrigação em dinheiro, ficando dispensada a propositura da ação de consignação pagamento, se o credor, cientificado por carta com aviso de recebimento, não manifestar sua recusa, no prazo de 10 dias, ao próprio estabelecimento bancário, caso em que o devedor se libera da obrigação. Mas, havendo recusa, o devedor precisará necessariamente ir a juízo para obter a liberação do débito.</w:t>
      </w:r>
    </w:p>
    <w:p w:rsidR="00EF2761" w:rsidRPr="00EF2761" w:rsidRDefault="005228D6" w:rsidP="00EF2761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Sendo o </w:t>
      </w:r>
      <w:r w:rsidR="00EF2761" w:rsidRPr="00EF2761">
        <w:rPr>
          <w:rFonts w:ascii="Arial" w:hAnsi="Arial" w:cs="Arial"/>
        </w:rPr>
        <w:t>foro competente o do lugar do pagamento.</w:t>
      </w:r>
    </w:p>
    <w:p w:rsidR="00EF2761" w:rsidRPr="00EF2761" w:rsidRDefault="00EF2761" w:rsidP="00EF2761">
      <w:pPr>
        <w:pStyle w:val="NormalWeb"/>
        <w:jc w:val="both"/>
        <w:rPr>
          <w:rFonts w:ascii="Arial" w:hAnsi="Arial" w:cs="Arial"/>
        </w:rPr>
      </w:pPr>
      <w:r w:rsidRPr="00EF2761">
        <w:rPr>
          <w:rFonts w:ascii="Arial" w:hAnsi="Arial" w:cs="Arial"/>
        </w:rPr>
        <w:t>Se o objeto da prestação devida é coisa indeterminada, cabendo a escolha ao credor, este é citado para escolher, dentro do prazo legal ou contratual, sob pena de escolha pelo devedor, devendo o juiz, ao despachar a petição inicial, fixar lugar, dia e hora para o recebimento, sob pena de deposito.</w:t>
      </w:r>
    </w:p>
    <w:p w:rsidR="00EF2761" w:rsidRPr="00EF2761" w:rsidRDefault="005228D6" w:rsidP="00EF2761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F2761" w:rsidRPr="00EF2761">
        <w:rPr>
          <w:rFonts w:ascii="Arial" w:hAnsi="Arial" w:cs="Arial"/>
        </w:rPr>
        <w:t xml:space="preserve">e a ação é proposta </w:t>
      </w:r>
      <w:r>
        <w:rPr>
          <w:rFonts w:ascii="Arial" w:hAnsi="Arial" w:cs="Arial"/>
        </w:rPr>
        <w:t>e</w:t>
      </w:r>
      <w:r w:rsidR="00EF2761" w:rsidRPr="00EF2761">
        <w:rPr>
          <w:rFonts w:ascii="Arial" w:hAnsi="Arial" w:cs="Arial"/>
        </w:rPr>
        <w:t xml:space="preserve"> não sabe</w:t>
      </w:r>
      <w:r>
        <w:rPr>
          <w:rFonts w:ascii="Arial" w:hAnsi="Arial" w:cs="Arial"/>
        </w:rPr>
        <w:t xml:space="preserve"> o devedor a quem pagar, </w:t>
      </w:r>
      <w:r w:rsidR="00EF2761" w:rsidRPr="00EF2761">
        <w:rPr>
          <w:rFonts w:ascii="Arial" w:hAnsi="Arial" w:cs="Arial"/>
        </w:rPr>
        <w:t>o autor precisa requerer o depósito e a citação dos possíveis titulares do direito de crédito. </w:t>
      </w:r>
    </w:p>
    <w:p w:rsidR="00EF2761" w:rsidRPr="00EF2761" w:rsidRDefault="00EF2761" w:rsidP="00EF2761">
      <w:pPr>
        <w:pStyle w:val="NormalWeb"/>
        <w:jc w:val="both"/>
        <w:rPr>
          <w:rFonts w:ascii="Arial" w:hAnsi="Arial" w:cs="Arial"/>
        </w:rPr>
      </w:pPr>
      <w:r w:rsidRPr="00EF2761">
        <w:rPr>
          <w:rFonts w:ascii="Arial" w:hAnsi="Arial" w:cs="Arial"/>
        </w:rPr>
        <w:t>Não comparecendo pretendente algum, o depósito converte-se em arrecadação de coisas vagas; comparecendo apenas um, o juiz decide de plano; comparecendo mais de um credor, o juiz declara efetuado o depósito e extinta a obrigação, continuando a correr o processo apenas entre os que se afirmaram credores, observado o procedimento comum.</w:t>
      </w:r>
    </w:p>
    <w:p w:rsidR="00EF2761" w:rsidRPr="00EF2761" w:rsidRDefault="00EF2761" w:rsidP="00EF2761">
      <w:pPr>
        <w:pStyle w:val="NormalWeb"/>
        <w:jc w:val="both"/>
        <w:rPr>
          <w:rFonts w:ascii="Arial" w:hAnsi="Arial" w:cs="Arial"/>
        </w:rPr>
      </w:pPr>
      <w:r w:rsidRPr="00EF2761">
        <w:rPr>
          <w:rFonts w:ascii="Arial" w:hAnsi="Arial" w:cs="Arial"/>
        </w:rPr>
        <w:t>No caso de prestações sucessivas, como as relativas aos alugueres de um prédio</w:t>
      </w:r>
      <w:r w:rsidR="005228D6">
        <w:rPr>
          <w:rFonts w:ascii="Arial" w:hAnsi="Arial" w:cs="Arial"/>
        </w:rPr>
        <w:t xml:space="preserve"> não </w:t>
      </w:r>
      <w:r w:rsidRPr="00EF2761">
        <w:rPr>
          <w:rFonts w:ascii="Arial" w:hAnsi="Arial" w:cs="Arial"/>
        </w:rPr>
        <w:t>é preciso uma ação próp</w:t>
      </w:r>
      <w:r w:rsidR="005228D6">
        <w:rPr>
          <w:rFonts w:ascii="Arial" w:hAnsi="Arial" w:cs="Arial"/>
        </w:rPr>
        <w:t xml:space="preserve">ria para cada prestação vencida, tudo de acordo com o </w:t>
      </w:r>
      <w:r w:rsidRPr="00EF2761">
        <w:rPr>
          <w:rFonts w:ascii="Arial" w:hAnsi="Arial" w:cs="Arial"/>
        </w:rPr>
        <w:t>“Art. 541. Tratando-se de prestações sucessivas, consignada uma delas, pode o devedor continuar a depositar, no mesmo processo e sem mais formalidades, as que se forem vencendo, desde que o faça em até 5 (cinco) dias contados da data do respectivo vencimento”.</w:t>
      </w:r>
    </w:p>
    <w:p w:rsidR="00EF2761" w:rsidRPr="00EF2761" w:rsidRDefault="00051EEC" w:rsidP="00EF2761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O credor pode oferecer as seguintes defesas</w:t>
      </w:r>
      <w:r w:rsidR="00EF2761" w:rsidRPr="00EF2761">
        <w:rPr>
          <w:rFonts w:ascii="Arial" w:hAnsi="Arial" w:cs="Arial"/>
        </w:rPr>
        <w:t xml:space="preserve"> de mérito</w:t>
      </w:r>
      <w:r>
        <w:rPr>
          <w:rFonts w:ascii="Arial" w:hAnsi="Arial" w:cs="Arial"/>
        </w:rPr>
        <w:t>:</w:t>
      </w:r>
    </w:p>
    <w:p w:rsidR="00EF2761" w:rsidRPr="00051EEC" w:rsidRDefault="00EF2761" w:rsidP="00EF2761">
      <w:pPr>
        <w:pStyle w:val="NormalWeb"/>
        <w:jc w:val="both"/>
        <w:rPr>
          <w:rFonts w:asciiTheme="minorHAnsi" w:hAnsiTheme="minorHAnsi" w:cs="Arial"/>
          <w:sz w:val="22"/>
        </w:rPr>
      </w:pPr>
      <w:r w:rsidRPr="00051EEC">
        <w:rPr>
          <w:rFonts w:asciiTheme="minorHAnsi" w:hAnsiTheme="minorHAnsi" w:cs="Arial"/>
          <w:sz w:val="22"/>
        </w:rPr>
        <w:lastRenderedPageBreak/>
        <w:t>I - não houve recusa ou mora em receber a quantia ou a coisa devida;</w:t>
      </w:r>
    </w:p>
    <w:p w:rsidR="00EF2761" w:rsidRPr="00051EEC" w:rsidRDefault="00EF2761" w:rsidP="00EF2761">
      <w:pPr>
        <w:pStyle w:val="NormalWeb"/>
        <w:jc w:val="both"/>
        <w:rPr>
          <w:rFonts w:asciiTheme="minorHAnsi" w:hAnsiTheme="minorHAnsi" w:cs="Arial"/>
          <w:sz w:val="22"/>
        </w:rPr>
      </w:pPr>
      <w:r w:rsidRPr="00051EEC">
        <w:rPr>
          <w:rFonts w:asciiTheme="minorHAnsi" w:hAnsiTheme="minorHAnsi" w:cs="Arial"/>
          <w:sz w:val="22"/>
        </w:rPr>
        <w:t>II - que foi justa a recusa;</w:t>
      </w:r>
    </w:p>
    <w:p w:rsidR="00EF2761" w:rsidRPr="00051EEC" w:rsidRDefault="00EF2761" w:rsidP="00EF2761">
      <w:pPr>
        <w:pStyle w:val="NormalWeb"/>
        <w:jc w:val="both"/>
        <w:rPr>
          <w:rFonts w:asciiTheme="minorHAnsi" w:hAnsiTheme="minorHAnsi" w:cs="Arial"/>
          <w:sz w:val="22"/>
        </w:rPr>
      </w:pPr>
      <w:r w:rsidRPr="00051EEC">
        <w:rPr>
          <w:rFonts w:asciiTheme="minorHAnsi" w:hAnsiTheme="minorHAnsi" w:cs="Arial"/>
          <w:sz w:val="22"/>
        </w:rPr>
        <w:t>III – que o depósito não se efetuou no prazo ou no lugar do pagamento;</w:t>
      </w:r>
    </w:p>
    <w:p w:rsidR="00EF2761" w:rsidRPr="00051EEC" w:rsidRDefault="00EF2761" w:rsidP="00EF2761">
      <w:pPr>
        <w:pStyle w:val="NormalWeb"/>
        <w:jc w:val="both"/>
        <w:rPr>
          <w:rFonts w:asciiTheme="minorHAnsi" w:hAnsiTheme="minorHAnsi" w:cs="Arial"/>
          <w:sz w:val="22"/>
        </w:rPr>
      </w:pPr>
      <w:r w:rsidRPr="00051EEC">
        <w:rPr>
          <w:rFonts w:asciiTheme="minorHAnsi" w:hAnsiTheme="minorHAnsi" w:cs="Arial"/>
          <w:sz w:val="22"/>
        </w:rPr>
        <w:t>IV – que o depósito é insuficiente, caso em que o credor deve indicar o valor que considera devido.</w:t>
      </w:r>
    </w:p>
    <w:p w:rsidR="00EF2761" w:rsidRPr="00EF2761" w:rsidRDefault="00EF2761" w:rsidP="00EF2761">
      <w:pPr>
        <w:pStyle w:val="NormalWeb"/>
        <w:jc w:val="both"/>
        <w:rPr>
          <w:rFonts w:ascii="Arial" w:hAnsi="Arial" w:cs="Arial"/>
        </w:rPr>
      </w:pPr>
      <w:r w:rsidRPr="00EF2761">
        <w:rPr>
          <w:rFonts w:ascii="Arial" w:hAnsi="Arial" w:cs="Arial"/>
        </w:rPr>
        <w:t>Neste último caso, pode o credor levantar desde logo o valor incontroverso e pode o devedor completar o depósito.</w:t>
      </w:r>
    </w:p>
    <w:p w:rsidR="00EF2761" w:rsidRPr="00EF2761" w:rsidRDefault="005228D6" w:rsidP="00EF2761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F2761" w:rsidRPr="00EF2761">
        <w:rPr>
          <w:rFonts w:ascii="Arial" w:hAnsi="Arial" w:cs="Arial"/>
        </w:rPr>
        <w:t xml:space="preserve"> natureza da sentença de procedência proferida na a</w:t>
      </w:r>
      <w:r>
        <w:rPr>
          <w:rFonts w:ascii="Arial" w:hAnsi="Arial" w:cs="Arial"/>
        </w:rPr>
        <w:t xml:space="preserve">ção de consignação em pagamento, </w:t>
      </w:r>
      <w:r w:rsidR="00EF2761" w:rsidRPr="00EF2761">
        <w:rPr>
          <w:rFonts w:ascii="Arial" w:hAnsi="Arial" w:cs="Arial"/>
        </w:rPr>
        <w:t>é declaratória da extinção do débito e condenatória, no que diz respeito às custas e honorários.</w:t>
      </w:r>
    </w:p>
    <w:p w:rsidR="00EF2761" w:rsidRDefault="005228D6" w:rsidP="00EF2761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F2761" w:rsidRPr="00EF2761">
        <w:rPr>
          <w:rFonts w:ascii="Arial" w:hAnsi="Arial" w:cs="Arial"/>
        </w:rPr>
        <w:t>e o  credor recebe a quantia ou a coisa dev</w:t>
      </w:r>
      <w:r>
        <w:rPr>
          <w:rFonts w:ascii="Arial" w:hAnsi="Arial" w:cs="Arial"/>
        </w:rPr>
        <w:t>ida e dá quitação,</w:t>
      </w:r>
      <w:r w:rsidR="00EF2761" w:rsidRPr="00EF2761">
        <w:rPr>
          <w:rFonts w:ascii="Arial" w:hAnsi="Arial" w:cs="Arial"/>
        </w:rPr>
        <w:t xml:space="preserve"> extingue-se o processo pelo reconhecimento da procedência do pedido, com a condenação do réu nas custas e em honorários advocatícios.</w:t>
      </w:r>
    </w:p>
    <w:p w:rsidR="00051EEC" w:rsidRDefault="00051EEC" w:rsidP="00EF2761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--------------------//////-------------</w:t>
      </w:r>
    </w:p>
    <w:sectPr w:rsidR="00051EEC" w:rsidSect="005277C0">
      <w:headerReference w:type="defaul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33F" w:rsidRDefault="00C5233F" w:rsidP="009A626E">
      <w:pPr>
        <w:spacing w:after="0" w:line="240" w:lineRule="auto"/>
      </w:pPr>
      <w:r>
        <w:separator/>
      </w:r>
    </w:p>
  </w:endnote>
  <w:endnote w:type="continuationSeparator" w:id="0">
    <w:p w:rsidR="00C5233F" w:rsidRDefault="00C5233F" w:rsidP="009A6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731 B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33F" w:rsidRDefault="00C5233F" w:rsidP="009A626E">
      <w:pPr>
        <w:spacing w:after="0" w:line="240" w:lineRule="auto"/>
      </w:pPr>
      <w:r>
        <w:separator/>
      </w:r>
    </w:p>
  </w:footnote>
  <w:footnote w:type="continuationSeparator" w:id="0">
    <w:p w:rsidR="00C5233F" w:rsidRDefault="00C5233F" w:rsidP="009A6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0FC" w:rsidRDefault="0025481B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65" type="#_x0000_t202" style="position:absolute;margin-left:530.5pt;margin-top:36.65pt;width:10pt;height:14pt;z-index:-251658752;mso-position-horizontal-relative:page;mso-position-vertical-relative:page" filled="f" stroked="f">
          <v:textbox inset="0,0,0,0">
            <w:txbxContent>
              <w:p w:rsidR="005060FC" w:rsidRDefault="008E38AE">
                <w:pPr>
                  <w:pStyle w:val="Corpodetexto"/>
                  <w:spacing w:line="265" w:lineRule="exact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 w:rsidR="005060FC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25481B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243E"/>
    <w:multiLevelType w:val="hybridMultilevel"/>
    <w:tmpl w:val="D9D41A8C"/>
    <w:lvl w:ilvl="0" w:tplc="2C6E00AA">
      <w:start w:val="1"/>
      <w:numFmt w:val="upperLetter"/>
      <w:lvlText w:val="%1-"/>
      <w:lvlJc w:val="left"/>
      <w:pPr>
        <w:ind w:left="720" w:hanging="360"/>
      </w:pPr>
      <w:rPr>
        <w:rFonts w:ascii="Arial" w:hAnsi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F5BD8"/>
    <w:multiLevelType w:val="multilevel"/>
    <w:tmpl w:val="666C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27BB6"/>
    <w:multiLevelType w:val="multilevel"/>
    <w:tmpl w:val="6C78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8B726C"/>
    <w:multiLevelType w:val="hybridMultilevel"/>
    <w:tmpl w:val="F21A9178"/>
    <w:lvl w:ilvl="0" w:tplc="4B86DD4E">
      <w:start w:val="1"/>
      <w:numFmt w:val="lowerLetter"/>
      <w:lvlText w:val="%1)"/>
      <w:lvlJc w:val="left"/>
      <w:pPr>
        <w:ind w:left="122" w:hanging="28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ABA674E6">
      <w:start w:val="1"/>
      <w:numFmt w:val="bullet"/>
      <w:lvlText w:val="•"/>
      <w:lvlJc w:val="left"/>
      <w:pPr>
        <w:ind w:left="1038" w:hanging="288"/>
      </w:pPr>
      <w:rPr>
        <w:rFonts w:hint="default"/>
      </w:rPr>
    </w:lvl>
    <w:lvl w:ilvl="2" w:tplc="38184516">
      <w:start w:val="1"/>
      <w:numFmt w:val="bullet"/>
      <w:lvlText w:val="•"/>
      <w:lvlJc w:val="left"/>
      <w:pPr>
        <w:ind w:left="1957" w:hanging="288"/>
      </w:pPr>
      <w:rPr>
        <w:rFonts w:hint="default"/>
      </w:rPr>
    </w:lvl>
    <w:lvl w:ilvl="3" w:tplc="BDC6E302">
      <w:start w:val="1"/>
      <w:numFmt w:val="bullet"/>
      <w:lvlText w:val="•"/>
      <w:lvlJc w:val="left"/>
      <w:pPr>
        <w:ind w:left="2875" w:hanging="288"/>
      </w:pPr>
      <w:rPr>
        <w:rFonts w:hint="default"/>
      </w:rPr>
    </w:lvl>
    <w:lvl w:ilvl="4" w:tplc="51C44B4A">
      <w:start w:val="1"/>
      <w:numFmt w:val="bullet"/>
      <w:lvlText w:val="•"/>
      <w:lvlJc w:val="left"/>
      <w:pPr>
        <w:ind w:left="3794" w:hanging="288"/>
      </w:pPr>
      <w:rPr>
        <w:rFonts w:hint="default"/>
      </w:rPr>
    </w:lvl>
    <w:lvl w:ilvl="5" w:tplc="B59EEBB0">
      <w:start w:val="1"/>
      <w:numFmt w:val="bullet"/>
      <w:lvlText w:val="•"/>
      <w:lvlJc w:val="left"/>
      <w:pPr>
        <w:ind w:left="4713" w:hanging="288"/>
      </w:pPr>
      <w:rPr>
        <w:rFonts w:hint="default"/>
      </w:rPr>
    </w:lvl>
    <w:lvl w:ilvl="6" w:tplc="59548838">
      <w:start w:val="1"/>
      <w:numFmt w:val="bullet"/>
      <w:lvlText w:val="•"/>
      <w:lvlJc w:val="left"/>
      <w:pPr>
        <w:ind w:left="5631" w:hanging="288"/>
      </w:pPr>
      <w:rPr>
        <w:rFonts w:hint="default"/>
      </w:rPr>
    </w:lvl>
    <w:lvl w:ilvl="7" w:tplc="2EC6EDE2">
      <w:start w:val="1"/>
      <w:numFmt w:val="bullet"/>
      <w:lvlText w:val="•"/>
      <w:lvlJc w:val="left"/>
      <w:pPr>
        <w:ind w:left="6550" w:hanging="288"/>
      </w:pPr>
      <w:rPr>
        <w:rFonts w:hint="default"/>
      </w:rPr>
    </w:lvl>
    <w:lvl w:ilvl="8" w:tplc="7A9E680A">
      <w:start w:val="1"/>
      <w:numFmt w:val="bullet"/>
      <w:lvlText w:val="•"/>
      <w:lvlJc w:val="left"/>
      <w:pPr>
        <w:ind w:left="7469" w:hanging="288"/>
      </w:pPr>
      <w:rPr>
        <w:rFonts w:hint="default"/>
      </w:rPr>
    </w:lvl>
  </w:abstractNum>
  <w:abstractNum w:abstractNumId="4">
    <w:nsid w:val="0F957C5D"/>
    <w:multiLevelType w:val="hybridMultilevel"/>
    <w:tmpl w:val="A4A4CC3E"/>
    <w:lvl w:ilvl="0" w:tplc="184A44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900B8"/>
    <w:multiLevelType w:val="hybridMultilevel"/>
    <w:tmpl w:val="1E088FDC"/>
    <w:lvl w:ilvl="0" w:tplc="E1DC7A3E">
      <w:start w:val="1"/>
      <w:numFmt w:val="upperLetter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5C2510"/>
    <w:multiLevelType w:val="multilevel"/>
    <w:tmpl w:val="40A21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CA41E8"/>
    <w:multiLevelType w:val="multilevel"/>
    <w:tmpl w:val="31CE2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3E35E9"/>
    <w:multiLevelType w:val="hybridMultilevel"/>
    <w:tmpl w:val="9C329BF6"/>
    <w:lvl w:ilvl="0" w:tplc="A9B4E56E">
      <w:start w:val="1"/>
      <w:numFmt w:val="decimal"/>
      <w:lvlText w:val="%1."/>
      <w:lvlJc w:val="left"/>
      <w:pPr>
        <w:ind w:left="3900" w:hanging="36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9">
    <w:nsid w:val="23D1516F"/>
    <w:multiLevelType w:val="hybridMultilevel"/>
    <w:tmpl w:val="D9D41A8C"/>
    <w:lvl w:ilvl="0" w:tplc="2C6E00AA">
      <w:start w:val="1"/>
      <w:numFmt w:val="upperLetter"/>
      <w:lvlText w:val="%1-"/>
      <w:lvlJc w:val="left"/>
      <w:pPr>
        <w:ind w:left="720" w:hanging="360"/>
      </w:pPr>
      <w:rPr>
        <w:rFonts w:ascii="Arial" w:hAnsi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64270"/>
    <w:multiLevelType w:val="multilevel"/>
    <w:tmpl w:val="EEDC3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4F7D4E"/>
    <w:multiLevelType w:val="hybridMultilevel"/>
    <w:tmpl w:val="0A20AC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E36EF"/>
    <w:multiLevelType w:val="hybridMultilevel"/>
    <w:tmpl w:val="E3EEBA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E7AA7"/>
    <w:multiLevelType w:val="multilevel"/>
    <w:tmpl w:val="731EB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872994"/>
    <w:multiLevelType w:val="hybridMultilevel"/>
    <w:tmpl w:val="7376F536"/>
    <w:lvl w:ilvl="0" w:tplc="3F784B84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328" w:hanging="360"/>
      </w:pPr>
    </w:lvl>
    <w:lvl w:ilvl="2" w:tplc="0416001B" w:tentative="1">
      <w:start w:val="1"/>
      <w:numFmt w:val="lowerRoman"/>
      <w:lvlText w:val="%3."/>
      <w:lvlJc w:val="right"/>
      <w:pPr>
        <w:ind w:left="6048" w:hanging="180"/>
      </w:pPr>
    </w:lvl>
    <w:lvl w:ilvl="3" w:tplc="0416000F" w:tentative="1">
      <w:start w:val="1"/>
      <w:numFmt w:val="decimal"/>
      <w:lvlText w:val="%4."/>
      <w:lvlJc w:val="left"/>
      <w:pPr>
        <w:ind w:left="6768" w:hanging="360"/>
      </w:pPr>
    </w:lvl>
    <w:lvl w:ilvl="4" w:tplc="04160019" w:tentative="1">
      <w:start w:val="1"/>
      <w:numFmt w:val="lowerLetter"/>
      <w:lvlText w:val="%5."/>
      <w:lvlJc w:val="left"/>
      <w:pPr>
        <w:ind w:left="7488" w:hanging="360"/>
      </w:pPr>
    </w:lvl>
    <w:lvl w:ilvl="5" w:tplc="0416001B" w:tentative="1">
      <w:start w:val="1"/>
      <w:numFmt w:val="lowerRoman"/>
      <w:lvlText w:val="%6."/>
      <w:lvlJc w:val="right"/>
      <w:pPr>
        <w:ind w:left="8208" w:hanging="180"/>
      </w:pPr>
    </w:lvl>
    <w:lvl w:ilvl="6" w:tplc="0416000F" w:tentative="1">
      <w:start w:val="1"/>
      <w:numFmt w:val="decimal"/>
      <w:lvlText w:val="%7."/>
      <w:lvlJc w:val="left"/>
      <w:pPr>
        <w:ind w:left="8928" w:hanging="360"/>
      </w:pPr>
    </w:lvl>
    <w:lvl w:ilvl="7" w:tplc="04160019" w:tentative="1">
      <w:start w:val="1"/>
      <w:numFmt w:val="lowerLetter"/>
      <w:lvlText w:val="%8."/>
      <w:lvlJc w:val="left"/>
      <w:pPr>
        <w:ind w:left="9648" w:hanging="360"/>
      </w:pPr>
    </w:lvl>
    <w:lvl w:ilvl="8" w:tplc="0416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5">
    <w:nsid w:val="3733540D"/>
    <w:multiLevelType w:val="multilevel"/>
    <w:tmpl w:val="5BC4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3946CB"/>
    <w:multiLevelType w:val="hybridMultilevel"/>
    <w:tmpl w:val="329E64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1D1E35"/>
    <w:multiLevelType w:val="hybridMultilevel"/>
    <w:tmpl w:val="728E3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6316C1"/>
    <w:multiLevelType w:val="hybridMultilevel"/>
    <w:tmpl w:val="E3EEBA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692EE7"/>
    <w:multiLevelType w:val="multilevel"/>
    <w:tmpl w:val="26EC8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1C5C6D"/>
    <w:multiLevelType w:val="multilevel"/>
    <w:tmpl w:val="F8A20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C178D5"/>
    <w:multiLevelType w:val="multilevel"/>
    <w:tmpl w:val="B402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AB7DD0"/>
    <w:multiLevelType w:val="hybridMultilevel"/>
    <w:tmpl w:val="FD3C7D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AC49C5"/>
    <w:multiLevelType w:val="hybridMultilevel"/>
    <w:tmpl w:val="D9D41A8C"/>
    <w:lvl w:ilvl="0" w:tplc="2C6E00AA">
      <w:start w:val="1"/>
      <w:numFmt w:val="upperLetter"/>
      <w:lvlText w:val="%1-"/>
      <w:lvlJc w:val="left"/>
      <w:pPr>
        <w:ind w:left="720" w:hanging="360"/>
      </w:pPr>
      <w:rPr>
        <w:rFonts w:ascii="Arial" w:hAnsi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121993"/>
    <w:multiLevelType w:val="hybridMultilevel"/>
    <w:tmpl w:val="E430A4F0"/>
    <w:lvl w:ilvl="0" w:tplc="34E0D4E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317F81"/>
    <w:multiLevelType w:val="hybridMultilevel"/>
    <w:tmpl w:val="C0B0913C"/>
    <w:lvl w:ilvl="0" w:tplc="F014D576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6">
    <w:nsid w:val="4B0116EC"/>
    <w:multiLevelType w:val="hybridMultilevel"/>
    <w:tmpl w:val="83469C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313A6B"/>
    <w:multiLevelType w:val="multilevel"/>
    <w:tmpl w:val="BF6C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D978E9"/>
    <w:multiLevelType w:val="multilevel"/>
    <w:tmpl w:val="A39E5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B456ED"/>
    <w:multiLevelType w:val="multilevel"/>
    <w:tmpl w:val="995E5144"/>
    <w:lvl w:ilvl="0">
      <w:start w:val="1"/>
      <w:numFmt w:val="decimal"/>
      <w:lvlText w:val="%1"/>
      <w:lvlJc w:val="left"/>
      <w:pPr>
        <w:ind w:left="282" w:hanging="18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2" w:hanging="36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2">
      <w:start w:val="1"/>
      <w:numFmt w:val="lowerLetter"/>
      <w:lvlText w:val="(%3)"/>
      <w:lvlJc w:val="left"/>
      <w:pPr>
        <w:ind w:left="2370" w:hanging="367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2380" w:hanging="367"/>
      </w:pPr>
      <w:rPr>
        <w:rFonts w:hint="default"/>
      </w:rPr>
    </w:lvl>
    <w:lvl w:ilvl="4">
      <w:numFmt w:val="bullet"/>
      <w:lvlText w:val="•"/>
      <w:lvlJc w:val="left"/>
      <w:pPr>
        <w:ind w:left="3286" w:hanging="367"/>
      </w:pPr>
      <w:rPr>
        <w:rFonts w:hint="default"/>
      </w:rPr>
    </w:lvl>
    <w:lvl w:ilvl="5">
      <w:numFmt w:val="bullet"/>
      <w:lvlText w:val="•"/>
      <w:lvlJc w:val="left"/>
      <w:pPr>
        <w:ind w:left="4193" w:hanging="367"/>
      </w:pPr>
      <w:rPr>
        <w:rFonts w:hint="default"/>
      </w:rPr>
    </w:lvl>
    <w:lvl w:ilvl="6">
      <w:numFmt w:val="bullet"/>
      <w:lvlText w:val="•"/>
      <w:lvlJc w:val="left"/>
      <w:pPr>
        <w:ind w:left="5099" w:hanging="367"/>
      </w:pPr>
      <w:rPr>
        <w:rFonts w:hint="default"/>
      </w:rPr>
    </w:lvl>
    <w:lvl w:ilvl="7">
      <w:numFmt w:val="bullet"/>
      <w:lvlText w:val="•"/>
      <w:lvlJc w:val="left"/>
      <w:pPr>
        <w:ind w:left="6006" w:hanging="367"/>
      </w:pPr>
      <w:rPr>
        <w:rFonts w:hint="default"/>
      </w:rPr>
    </w:lvl>
    <w:lvl w:ilvl="8">
      <w:numFmt w:val="bullet"/>
      <w:lvlText w:val="•"/>
      <w:lvlJc w:val="left"/>
      <w:pPr>
        <w:ind w:left="6913" w:hanging="367"/>
      </w:pPr>
      <w:rPr>
        <w:rFonts w:hint="default"/>
      </w:rPr>
    </w:lvl>
  </w:abstractNum>
  <w:abstractNum w:abstractNumId="30">
    <w:nsid w:val="5ABF2C30"/>
    <w:multiLevelType w:val="hybridMultilevel"/>
    <w:tmpl w:val="554CCE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5220C"/>
    <w:multiLevelType w:val="hybridMultilevel"/>
    <w:tmpl w:val="931622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A66153"/>
    <w:multiLevelType w:val="hybridMultilevel"/>
    <w:tmpl w:val="DD9EAA74"/>
    <w:lvl w:ilvl="0" w:tplc="4C0A7130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328" w:hanging="360"/>
      </w:pPr>
    </w:lvl>
    <w:lvl w:ilvl="2" w:tplc="0416001B" w:tentative="1">
      <w:start w:val="1"/>
      <w:numFmt w:val="lowerRoman"/>
      <w:lvlText w:val="%3."/>
      <w:lvlJc w:val="right"/>
      <w:pPr>
        <w:ind w:left="6048" w:hanging="180"/>
      </w:pPr>
    </w:lvl>
    <w:lvl w:ilvl="3" w:tplc="0416000F" w:tentative="1">
      <w:start w:val="1"/>
      <w:numFmt w:val="decimal"/>
      <w:lvlText w:val="%4."/>
      <w:lvlJc w:val="left"/>
      <w:pPr>
        <w:ind w:left="6768" w:hanging="360"/>
      </w:pPr>
    </w:lvl>
    <w:lvl w:ilvl="4" w:tplc="04160019" w:tentative="1">
      <w:start w:val="1"/>
      <w:numFmt w:val="lowerLetter"/>
      <w:lvlText w:val="%5."/>
      <w:lvlJc w:val="left"/>
      <w:pPr>
        <w:ind w:left="7488" w:hanging="360"/>
      </w:pPr>
    </w:lvl>
    <w:lvl w:ilvl="5" w:tplc="0416001B" w:tentative="1">
      <w:start w:val="1"/>
      <w:numFmt w:val="lowerRoman"/>
      <w:lvlText w:val="%6."/>
      <w:lvlJc w:val="right"/>
      <w:pPr>
        <w:ind w:left="8208" w:hanging="180"/>
      </w:pPr>
    </w:lvl>
    <w:lvl w:ilvl="6" w:tplc="0416000F" w:tentative="1">
      <w:start w:val="1"/>
      <w:numFmt w:val="decimal"/>
      <w:lvlText w:val="%7."/>
      <w:lvlJc w:val="left"/>
      <w:pPr>
        <w:ind w:left="8928" w:hanging="360"/>
      </w:pPr>
    </w:lvl>
    <w:lvl w:ilvl="7" w:tplc="04160019" w:tentative="1">
      <w:start w:val="1"/>
      <w:numFmt w:val="lowerLetter"/>
      <w:lvlText w:val="%8."/>
      <w:lvlJc w:val="left"/>
      <w:pPr>
        <w:ind w:left="9648" w:hanging="360"/>
      </w:pPr>
    </w:lvl>
    <w:lvl w:ilvl="8" w:tplc="0416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33">
    <w:nsid w:val="5F911314"/>
    <w:multiLevelType w:val="multilevel"/>
    <w:tmpl w:val="11DEE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D109D3"/>
    <w:multiLevelType w:val="hybridMultilevel"/>
    <w:tmpl w:val="3E40B220"/>
    <w:lvl w:ilvl="0" w:tplc="2610A82C">
      <w:start w:val="1"/>
      <w:numFmt w:val="upperRoman"/>
      <w:lvlText w:val="%1"/>
      <w:lvlJc w:val="left"/>
      <w:pPr>
        <w:ind w:left="122" w:hanging="118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475E32B4">
      <w:start w:val="1"/>
      <w:numFmt w:val="bullet"/>
      <w:lvlText w:val=""/>
      <w:lvlJc w:val="left"/>
      <w:pPr>
        <w:ind w:left="122" w:hanging="212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7B1A2750">
      <w:start w:val="1"/>
      <w:numFmt w:val="bullet"/>
      <w:lvlText w:val="•"/>
      <w:lvlJc w:val="left"/>
      <w:pPr>
        <w:ind w:left="1957" w:hanging="212"/>
      </w:pPr>
      <w:rPr>
        <w:rFonts w:hint="default"/>
      </w:rPr>
    </w:lvl>
    <w:lvl w:ilvl="3" w:tplc="7E52795E">
      <w:start w:val="1"/>
      <w:numFmt w:val="bullet"/>
      <w:lvlText w:val="•"/>
      <w:lvlJc w:val="left"/>
      <w:pPr>
        <w:ind w:left="2875" w:hanging="212"/>
      </w:pPr>
      <w:rPr>
        <w:rFonts w:hint="default"/>
      </w:rPr>
    </w:lvl>
    <w:lvl w:ilvl="4" w:tplc="982C5880">
      <w:start w:val="1"/>
      <w:numFmt w:val="bullet"/>
      <w:lvlText w:val="•"/>
      <w:lvlJc w:val="left"/>
      <w:pPr>
        <w:ind w:left="3794" w:hanging="212"/>
      </w:pPr>
      <w:rPr>
        <w:rFonts w:hint="default"/>
      </w:rPr>
    </w:lvl>
    <w:lvl w:ilvl="5" w:tplc="A63E2946">
      <w:start w:val="1"/>
      <w:numFmt w:val="bullet"/>
      <w:lvlText w:val="•"/>
      <w:lvlJc w:val="left"/>
      <w:pPr>
        <w:ind w:left="4713" w:hanging="212"/>
      </w:pPr>
      <w:rPr>
        <w:rFonts w:hint="default"/>
      </w:rPr>
    </w:lvl>
    <w:lvl w:ilvl="6" w:tplc="CF848972">
      <w:start w:val="1"/>
      <w:numFmt w:val="bullet"/>
      <w:lvlText w:val="•"/>
      <w:lvlJc w:val="left"/>
      <w:pPr>
        <w:ind w:left="5631" w:hanging="212"/>
      </w:pPr>
      <w:rPr>
        <w:rFonts w:hint="default"/>
      </w:rPr>
    </w:lvl>
    <w:lvl w:ilvl="7" w:tplc="6C241B82">
      <w:start w:val="1"/>
      <w:numFmt w:val="bullet"/>
      <w:lvlText w:val="•"/>
      <w:lvlJc w:val="left"/>
      <w:pPr>
        <w:ind w:left="6550" w:hanging="212"/>
      </w:pPr>
      <w:rPr>
        <w:rFonts w:hint="default"/>
      </w:rPr>
    </w:lvl>
    <w:lvl w:ilvl="8" w:tplc="A4F852D2">
      <w:start w:val="1"/>
      <w:numFmt w:val="bullet"/>
      <w:lvlText w:val="•"/>
      <w:lvlJc w:val="left"/>
      <w:pPr>
        <w:ind w:left="7469" w:hanging="212"/>
      </w:pPr>
      <w:rPr>
        <w:rFonts w:hint="default"/>
      </w:rPr>
    </w:lvl>
  </w:abstractNum>
  <w:abstractNum w:abstractNumId="35">
    <w:nsid w:val="6C595D19"/>
    <w:multiLevelType w:val="multilevel"/>
    <w:tmpl w:val="9DE4D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CA121B5"/>
    <w:multiLevelType w:val="multilevel"/>
    <w:tmpl w:val="AAB4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F7636D"/>
    <w:multiLevelType w:val="multilevel"/>
    <w:tmpl w:val="2616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DD0B52"/>
    <w:multiLevelType w:val="multilevel"/>
    <w:tmpl w:val="0D7C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2D010A"/>
    <w:multiLevelType w:val="multilevel"/>
    <w:tmpl w:val="241E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F34E5C"/>
    <w:multiLevelType w:val="multilevel"/>
    <w:tmpl w:val="A8E4A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D5377F"/>
    <w:multiLevelType w:val="hybridMultilevel"/>
    <w:tmpl w:val="ED72BC82"/>
    <w:lvl w:ilvl="0" w:tplc="0ED07F24">
      <w:start w:val="1"/>
      <w:numFmt w:val="lowerLetter"/>
      <w:lvlText w:val="%1)"/>
      <w:lvlJc w:val="left"/>
      <w:pPr>
        <w:ind w:left="46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328" w:hanging="360"/>
      </w:pPr>
    </w:lvl>
    <w:lvl w:ilvl="2" w:tplc="0416001B" w:tentative="1">
      <w:start w:val="1"/>
      <w:numFmt w:val="lowerRoman"/>
      <w:lvlText w:val="%3."/>
      <w:lvlJc w:val="right"/>
      <w:pPr>
        <w:ind w:left="6048" w:hanging="180"/>
      </w:pPr>
    </w:lvl>
    <w:lvl w:ilvl="3" w:tplc="0416000F" w:tentative="1">
      <w:start w:val="1"/>
      <w:numFmt w:val="decimal"/>
      <w:lvlText w:val="%4."/>
      <w:lvlJc w:val="left"/>
      <w:pPr>
        <w:ind w:left="6768" w:hanging="360"/>
      </w:pPr>
    </w:lvl>
    <w:lvl w:ilvl="4" w:tplc="04160019" w:tentative="1">
      <w:start w:val="1"/>
      <w:numFmt w:val="lowerLetter"/>
      <w:lvlText w:val="%5."/>
      <w:lvlJc w:val="left"/>
      <w:pPr>
        <w:ind w:left="7488" w:hanging="360"/>
      </w:pPr>
    </w:lvl>
    <w:lvl w:ilvl="5" w:tplc="0416001B" w:tentative="1">
      <w:start w:val="1"/>
      <w:numFmt w:val="lowerRoman"/>
      <w:lvlText w:val="%6."/>
      <w:lvlJc w:val="right"/>
      <w:pPr>
        <w:ind w:left="8208" w:hanging="180"/>
      </w:pPr>
    </w:lvl>
    <w:lvl w:ilvl="6" w:tplc="0416000F" w:tentative="1">
      <w:start w:val="1"/>
      <w:numFmt w:val="decimal"/>
      <w:lvlText w:val="%7."/>
      <w:lvlJc w:val="left"/>
      <w:pPr>
        <w:ind w:left="8928" w:hanging="360"/>
      </w:pPr>
    </w:lvl>
    <w:lvl w:ilvl="7" w:tplc="04160019" w:tentative="1">
      <w:start w:val="1"/>
      <w:numFmt w:val="lowerLetter"/>
      <w:lvlText w:val="%8."/>
      <w:lvlJc w:val="left"/>
      <w:pPr>
        <w:ind w:left="9648" w:hanging="360"/>
      </w:pPr>
    </w:lvl>
    <w:lvl w:ilvl="8" w:tplc="0416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42">
    <w:nsid w:val="78094CF2"/>
    <w:multiLevelType w:val="multilevel"/>
    <w:tmpl w:val="50927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FD4031"/>
    <w:multiLevelType w:val="hybridMultilevel"/>
    <w:tmpl w:val="F91EAD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910326"/>
    <w:multiLevelType w:val="hybridMultilevel"/>
    <w:tmpl w:val="261EB576"/>
    <w:lvl w:ilvl="0" w:tplc="66B0D8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AA71F5"/>
    <w:multiLevelType w:val="multilevel"/>
    <w:tmpl w:val="15DE2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1"/>
  </w:num>
  <w:num w:numId="3">
    <w:abstractNumId w:val="30"/>
  </w:num>
  <w:num w:numId="4">
    <w:abstractNumId w:val="18"/>
  </w:num>
  <w:num w:numId="5">
    <w:abstractNumId w:val="12"/>
  </w:num>
  <w:num w:numId="6">
    <w:abstractNumId w:val="1"/>
  </w:num>
  <w:num w:numId="7">
    <w:abstractNumId w:val="15"/>
  </w:num>
  <w:num w:numId="8">
    <w:abstractNumId w:val="7"/>
  </w:num>
  <w:num w:numId="9">
    <w:abstractNumId w:val="37"/>
  </w:num>
  <w:num w:numId="10">
    <w:abstractNumId w:val="27"/>
  </w:num>
  <w:num w:numId="11">
    <w:abstractNumId w:val="19"/>
  </w:num>
  <w:num w:numId="12">
    <w:abstractNumId w:val="35"/>
  </w:num>
  <w:num w:numId="13">
    <w:abstractNumId w:val="39"/>
  </w:num>
  <w:num w:numId="14">
    <w:abstractNumId w:val="10"/>
  </w:num>
  <w:num w:numId="15">
    <w:abstractNumId w:val="2"/>
  </w:num>
  <w:num w:numId="16">
    <w:abstractNumId w:val="33"/>
  </w:num>
  <w:num w:numId="17">
    <w:abstractNumId w:val="20"/>
  </w:num>
  <w:num w:numId="18">
    <w:abstractNumId w:val="26"/>
  </w:num>
  <w:num w:numId="19">
    <w:abstractNumId w:val="3"/>
  </w:num>
  <w:num w:numId="20">
    <w:abstractNumId w:val="34"/>
  </w:num>
  <w:num w:numId="21">
    <w:abstractNumId w:val="36"/>
  </w:num>
  <w:num w:numId="22">
    <w:abstractNumId w:val="43"/>
  </w:num>
  <w:num w:numId="23">
    <w:abstractNumId w:val="32"/>
  </w:num>
  <w:num w:numId="24">
    <w:abstractNumId w:val="14"/>
  </w:num>
  <w:num w:numId="25">
    <w:abstractNumId w:val="31"/>
  </w:num>
  <w:num w:numId="26">
    <w:abstractNumId w:val="22"/>
  </w:num>
  <w:num w:numId="27">
    <w:abstractNumId w:val="24"/>
  </w:num>
  <w:num w:numId="28">
    <w:abstractNumId w:val="44"/>
  </w:num>
  <w:num w:numId="29">
    <w:abstractNumId w:val="4"/>
  </w:num>
  <w:num w:numId="30">
    <w:abstractNumId w:val="41"/>
  </w:num>
  <w:num w:numId="31">
    <w:abstractNumId w:val="28"/>
  </w:num>
  <w:num w:numId="32">
    <w:abstractNumId w:val="42"/>
  </w:num>
  <w:num w:numId="33">
    <w:abstractNumId w:val="6"/>
  </w:num>
  <w:num w:numId="34">
    <w:abstractNumId w:val="45"/>
  </w:num>
  <w:num w:numId="35">
    <w:abstractNumId w:val="13"/>
  </w:num>
  <w:num w:numId="36">
    <w:abstractNumId w:val="40"/>
  </w:num>
  <w:num w:numId="37">
    <w:abstractNumId w:val="29"/>
  </w:num>
  <w:num w:numId="38">
    <w:abstractNumId w:val="25"/>
  </w:num>
  <w:num w:numId="39">
    <w:abstractNumId w:val="16"/>
  </w:num>
  <w:num w:numId="40">
    <w:abstractNumId w:val="38"/>
  </w:num>
  <w:num w:numId="41">
    <w:abstractNumId w:val="8"/>
  </w:num>
  <w:num w:numId="42">
    <w:abstractNumId w:val="5"/>
  </w:num>
  <w:num w:numId="43">
    <w:abstractNumId w:val="0"/>
  </w:num>
  <w:num w:numId="44">
    <w:abstractNumId w:val="9"/>
  </w:num>
  <w:num w:numId="45">
    <w:abstractNumId w:val="23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1267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A0D"/>
    <w:rsid w:val="00000A66"/>
    <w:rsid w:val="00000C3A"/>
    <w:rsid w:val="00001967"/>
    <w:rsid w:val="00001AEE"/>
    <w:rsid w:val="00003509"/>
    <w:rsid w:val="00005288"/>
    <w:rsid w:val="00010565"/>
    <w:rsid w:val="00017C02"/>
    <w:rsid w:val="0002284A"/>
    <w:rsid w:val="000228F1"/>
    <w:rsid w:val="00023BE7"/>
    <w:rsid w:val="00023FDF"/>
    <w:rsid w:val="00024A46"/>
    <w:rsid w:val="00025832"/>
    <w:rsid w:val="0002604E"/>
    <w:rsid w:val="00030F78"/>
    <w:rsid w:val="00031C97"/>
    <w:rsid w:val="00032064"/>
    <w:rsid w:val="00032749"/>
    <w:rsid w:val="00032AC1"/>
    <w:rsid w:val="00033816"/>
    <w:rsid w:val="00034CC6"/>
    <w:rsid w:val="00034D69"/>
    <w:rsid w:val="00037D08"/>
    <w:rsid w:val="00041EBE"/>
    <w:rsid w:val="0004325D"/>
    <w:rsid w:val="000434E1"/>
    <w:rsid w:val="00043B56"/>
    <w:rsid w:val="00046338"/>
    <w:rsid w:val="00046B2F"/>
    <w:rsid w:val="00047C97"/>
    <w:rsid w:val="00047D24"/>
    <w:rsid w:val="00051171"/>
    <w:rsid w:val="00051EEC"/>
    <w:rsid w:val="00055155"/>
    <w:rsid w:val="000553FC"/>
    <w:rsid w:val="00055C8A"/>
    <w:rsid w:val="000608E8"/>
    <w:rsid w:val="000622F8"/>
    <w:rsid w:val="0006264A"/>
    <w:rsid w:val="00062704"/>
    <w:rsid w:val="00062F4A"/>
    <w:rsid w:val="0006450C"/>
    <w:rsid w:val="000653D5"/>
    <w:rsid w:val="00065E2B"/>
    <w:rsid w:val="00066368"/>
    <w:rsid w:val="00066493"/>
    <w:rsid w:val="00070A33"/>
    <w:rsid w:val="00073496"/>
    <w:rsid w:val="0007471A"/>
    <w:rsid w:val="00075F15"/>
    <w:rsid w:val="000769E7"/>
    <w:rsid w:val="0007719A"/>
    <w:rsid w:val="00081049"/>
    <w:rsid w:val="00082473"/>
    <w:rsid w:val="00082E64"/>
    <w:rsid w:val="00084740"/>
    <w:rsid w:val="000848CE"/>
    <w:rsid w:val="0008581F"/>
    <w:rsid w:val="000868FE"/>
    <w:rsid w:val="00087E90"/>
    <w:rsid w:val="00090835"/>
    <w:rsid w:val="00097289"/>
    <w:rsid w:val="000A1EDC"/>
    <w:rsid w:val="000A1F4E"/>
    <w:rsid w:val="000A5189"/>
    <w:rsid w:val="000A55C5"/>
    <w:rsid w:val="000A62DD"/>
    <w:rsid w:val="000A6301"/>
    <w:rsid w:val="000A6A53"/>
    <w:rsid w:val="000A6EDD"/>
    <w:rsid w:val="000B3915"/>
    <w:rsid w:val="000B5C4E"/>
    <w:rsid w:val="000C00D3"/>
    <w:rsid w:val="000C4796"/>
    <w:rsid w:val="000C6157"/>
    <w:rsid w:val="000C6E2F"/>
    <w:rsid w:val="000C7826"/>
    <w:rsid w:val="000E164E"/>
    <w:rsid w:val="000E23CB"/>
    <w:rsid w:val="000E47EF"/>
    <w:rsid w:val="000E6418"/>
    <w:rsid w:val="000E6F4A"/>
    <w:rsid w:val="000E70C5"/>
    <w:rsid w:val="000F2307"/>
    <w:rsid w:val="000F6AFF"/>
    <w:rsid w:val="00100DDA"/>
    <w:rsid w:val="00100F4B"/>
    <w:rsid w:val="001015C5"/>
    <w:rsid w:val="00101D79"/>
    <w:rsid w:val="00102D4C"/>
    <w:rsid w:val="00110274"/>
    <w:rsid w:val="0011072A"/>
    <w:rsid w:val="001107D1"/>
    <w:rsid w:val="00110F54"/>
    <w:rsid w:val="001114D2"/>
    <w:rsid w:val="00113442"/>
    <w:rsid w:val="001147E9"/>
    <w:rsid w:val="00115C53"/>
    <w:rsid w:val="001173BA"/>
    <w:rsid w:val="001245AB"/>
    <w:rsid w:val="001260EB"/>
    <w:rsid w:val="0012736B"/>
    <w:rsid w:val="00130B0F"/>
    <w:rsid w:val="00132276"/>
    <w:rsid w:val="00134D0A"/>
    <w:rsid w:val="0013609F"/>
    <w:rsid w:val="00140E26"/>
    <w:rsid w:val="001410D8"/>
    <w:rsid w:val="001410ED"/>
    <w:rsid w:val="001444A2"/>
    <w:rsid w:val="00144764"/>
    <w:rsid w:val="0015247B"/>
    <w:rsid w:val="00152FFE"/>
    <w:rsid w:val="0015374A"/>
    <w:rsid w:val="00154C42"/>
    <w:rsid w:val="00157D71"/>
    <w:rsid w:val="001600DB"/>
    <w:rsid w:val="00161C67"/>
    <w:rsid w:val="0016288B"/>
    <w:rsid w:val="00162CA9"/>
    <w:rsid w:val="00170662"/>
    <w:rsid w:val="00170CE0"/>
    <w:rsid w:val="00170EA2"/>
    <w:rsid w:val="00171A9B"/>
    <w:rsid w:val="00172A59"/>
    <w:rsid w:val="0017590A"/>
    <w:rsid w:val="001773EC"/>
    <w:rsid w:val="001779E7"/>
    <w:rsid w:val="0018023F"/>
    <w:rsid w:val="001820A9"/>
    <w:rsid w:val="0018379D"/>
    <w:rsid w:val="00183DFD"/>
    <w:rsid w:val="00184025"/>
    <w:rsid w:val="00184184"/>
    <w:rsid w:val="00190F2A"/>
    <w:rsid w:val="001937A2"/>
    <w:rsid w:val="0019571F"/>
    <w:rsid w:val="00195E54"/>
    <w:rsid w:val="001A4076"/>
    <w:rsid w:val="001A552F"/>
    <w:rsid w:val="001A678B"/>
    <w:rsid w:val="001A7643"/>
    <w:rsid w:val="001B1A3D"/>
    <w:rsid w:val="001B29C3"/>
    <w:rsid w:val="001B31DB"/>
    <w:rsid w:val="001B7DC1"/>
    <w:rsid w:val="001C13A3"/>
    <w:rsid w:val="001C34F0"/>
    <w:rsid w:val="001C3DDF"/>
    <w:rsid w:val="001C452D"/>
    <w:rsid w:val="001C76CC"/>
    <w:rsid w:val="001D3115"/>
    <w:rsid w:val="001D3965"/>
    <w:rsid w:val="001D5E53"/>
    <w:rsid w:val="001D5FF6"/>
    <w:rsid w:val="001D700C"/>
    <w:rsid w:val="001E14C6"/>
    <w:rsid w:val="001E210F"/>
    <w:rsid w:val="001E411E"/>
    <w:rsid w:val="001E41EE"/>
    <w:rsid w:val="001E4B25"/>
    <w:rsid w:val="001E7803"/>
    <w:rsid w:val="001E7E48"/>
    <w:rsid w:val="001F0417"/>
    <w:rsid w:val="001F0744"/>
    <w:rsid w:val="001F0948"/>
    <w:rsid w:val="001F2EAA"/>
    <w:rsid w:val="001F5267"/>
    <w:rsid w:val="001F5877"/>
    <w:rsid w:val="001F7B2E"/>
    <w:rsid w:val="00201EDE"/>
    <w:rsid w:val="002025A2"/>
    <w:rsid w:val="00203C08"/>
    <w:rsid w:val="002072DE"/>
    <w:rsid w:val="00210BA6"/>
    <w:rsid w:val="00211EDE"/>
    <w:rsid w:val="00211FC5"/>
    <w:rsid w:val="00213C9E"/>
    <w:rsid w:val="002162F8"/>
    <w:rsid w:val="002169D5"/>
    <w:rsid w:val="00217C69"/>
    <w:rsid w:val="00221370"/>
    <w:rsid w:val="00225AEF"/>
    <w:rsid w:val="002303BB"/>
    <w:rsid w:val="00231B2B"/>
    <w:rsid w:val="0023454C"/>
    <w:rsid w:val="002352A6"/>
    <w:rsid w:val="002421D6"/>
    <w:rsid w:val="00244666"/>
    <w:rsid w:val="00247A50"/>
    <w:rsid w:val="00247C46"/>
    <w:rsid w:val="002520E0"/>
    <w:rsid w:val="00253A1F"/>
    <w:rsid w:val="00254772"/>
    <w:rsid w:val="0025481B"/>
    <w:rsid w:val="00255295"/>
    <w:rsid w:val="002555CB"/>
    <w:rsid w:val="00260BFE"/>
    <w:rsid w:val="00264F6F"/>
    <w:rsid w:val="0027123B"/>
    <w:rsid w:val="00272B85"/>
    <w:rsid w:val="00274926"/>
    <w:rsid w:val="002763A4"/>
    <w:rsid w:val="0028005D"/>
    <w:rsid w:val="0028014D"/>
    <w:rsid w:val="0028269F"/>
    <w:rsid w:val="00286553"/>
    <w:rsid w:val="00286AF7"/>
    <w:rsid w:val="0029648B"/>
    <w:rsid w:val="002A021C"/>
    <w:rsid w:val="002A241A"/>
    <w:rsid w:val="002A2DD2"/>
    <w:rsid w:val="002A2EBB"/>
    <w:rsid w:val="002A348A"/>
    <w:rsid w:val="002A3F70"/>
    <w:rsid w:val="002A7C1E"/>
    <w:rsid w:val="002B4CD6"/>
    <w:rsid w:val="002B5FFC"/>
    <w:rsid w:val="002B6C55"/>
    <w:rsid w:val="002B6E72"/>
    <w:rsid w:val="002B75E6"/>
    <w:rsid w:val="002B7739"/>
    <w:rsid w:val="002C2C34"/>
    <w:rsid w:val="002C58B8"/>
    <w:rsid w:val="002C5EB9"/>
    <w:rsid w:val="002D26DA"/>
    <w:rsid w:val="002D311D"/>
    <w:rsid w:val="002D45DA"/>
    <w:rsid w:val="002D5875"/>
    <w:rsid w:val="002D5AD6"/>
    <w:rsid w:val="002E02E4"/>
    <w:rsid w:val="002E0E3A"/>
    <w:rsid w:val="002E5D25"/>
    <w:rsid w:val="002F1D6A"/>
    <w:rsid w:val="002F1E68"/>
    <w:rsid w:val="002F2856"/>
    <w:rsid w:val="002F3825"/>
    <w:rsid w:val="002F6EBB"/>
    <w:rsid w:val="00302971"/>
    <w:rsid w:val="00303655"/>
    <w:rsid w:val="0030625A"/>
    <w:rsid w:val="003070BA"/>
    <w:rsid w:val="00310911"/>
    <w:rsid w:val="00310CAC"/>
    <w:rsid w:val="003135AD"/>
    <w:rsid w:val="003153AD"/>
    <w:rsid w:val="00315BD3"/>
    <w:rsid w:val="00321B8C"/>
    <w:rsid w:val="00321F54"/>
    <w:rsid w:val="00323BA8"/>
    <w:rsid w:val="00323F5C"/>
    <w:rsid w:val="00324E1F"/>
    <w:rsid w:val="00325C4F"/>
    <w:rsid w:val="003262DB"/>
    <w:rsid w:val="003263FC"/>
    <w:rsid w:val="003267E7"/>
    <w:rsid w:val="003268B4"/>
    <w:rsid w:val="003279A1"/>
    <w:rsid w:val="00327E0F"/>
    <w:rsid w:val="00327EAD"/>
    <w:rsid w:val="00332288"/>
    <w:rsid w:val="00332C45"/>
    <w:rsid w:val="003342D5"/>
    <w:rsid w:val="00334A25"/>
    <w:rsid w:val="00335D9D"/>
    <w:rsid w:val="003373C8"/>
    <w:rsid w:val="003439C9"/>
    <w:rsid w:val="003441E2"/>
    <w:rsid w:val="003444DC"/>
    <w:rsid w:val="00345323"/>
    <w:rsid w:val="00347AF7"/>
    <w:rsid w:val="00350B2B"/>
    <w:rsid w:val="00350C21"/>
    <w:rsid w:val="00350D5C"/>
    <w:rsid w:val="00350F96"/>
    <w:rsid w:val="0035332D"/>
    <w:rsid w:val="0035367E"/>
    <w:rsid w:val="00356DD6"/>
    <w:rsid w:val="0036086E"/>
    <w:rsid w:val="00360F10"/>
    <w:rsid w:val="00363D68"/>
    <w:rsid w:val="003648B0"/>
    <w:rsid w:val="0036508A"/>
    <w:rsid w:val="003666C0"/>
    <w:rsid w:val="00366A07"/>
    <w:rsid w:val="003675D7"/>
    <w:rsid w:val="00372A8E"/>
    <w:rsid w:val="00372E1D"/>
    <w:rsid w:val="003738C1"/>
    <w:rsid w:val="00375546"/>
    <w:rsid w:val="00376F85"/>
    <w:rsid w:val="00377077"/>
    <w:rsid w:val="003774B9"/>
    <w:rsid w:val="0038019D"/>
    <w:rsid w:val="003853DB"/>
    <w:rsid w:val="00385ABC"/>
    <w:rsid w:val="0038728F"/>
    <w:rsid w:val="003933F6"/>
    <w:rsid w:val="00393CCD"/>
    <w:rsid w:val="00393E46"/>
    <w:rsid w:val="0039418E"/>
    <w:rsid w:val="00396058"/>
    <w:rsid w:val="00396465"/>
    <w:rsid w:val="003A325A"/>
    <w:rsid w:val="003A4999"/>
    <w:rsid w:val="003A544C"/>
    <w:rsid w:val="003A6605"/>
    <w:rsid w:val="003A75F1"/>
    <w:rsid w:val="003B1EF1"/>
    <w:rsid w:val="003B2026"/>
    <w:rsid w:val="003B2638"/>
    <w:rsid w:val="003B3F9E"/>
    <w:rsid w:val="003B403E"/>
    <w:rsid w:val="003B4A35"/>
    <w:rsid w:val="003B5212"/>
    <w:rsid w:val="003B6686"/>
    <w:rsid w:val="003B68C8"/>
    <w:rsid w:val="003B785A"/>
    <w:rsid w:val="003C0BB5"/>
    <w:rsid w:val="003C10FC"/>
    <w:rsid w:val="003C4AAB"/>
    <w:rsid w:val="003C5725"/>
    <w:rsid w:val="003C683A"/>
    <w:rsid w:val="003C68AB"/>
    <w:rsid w:val="003D09B5"/>
    <w:rsid w:val="003E0BA6"/>
    <w:rsid w:val="003E522E"/>
    <w:rsid w:val="003E54CB"/>
    <w:rsid w:val="003E634B"/>
    <w:rsid w:val="003E7038"/>
    <w:rsid w:val="003E7491"/>
    <w:rsid w:val="003F1F12"/>
    <w:rsid w:val="003F271C"/>
    <w:rsid w:val="003F72F8"/>
    <w:rsid w:val="00400681"/>
    <w:rsid w:val="0040154F"/>
    <w:rsid w:val="004041D3"/>
    <w:rsid w:val="00407726"/>
    <w:rsid w:val="00413C4E"/>
    <w:rsid w:val="0041577B"/>
    <w:rsid w:val="004167B0"/>
    <w:rsid w:val="004179BC"/>
    <w:rsid w:val="0042121D"/>
    <w:rsid w:val="00422F7F"/>
    <w:rsid w:val="00423A58"/>
    <w:rsid w:val="00432C4C"/>
    <w:rsid w:val="00433958"/>
    <w:rsid w:val="00433A0D"/>
    <w:rsid w:val="00436EC4"/>
    <w:rsid w:val="00437306"/>
    <w:rsid w:val="004413F4"/>
    <w:rsid w:val="004451D0"/>
    <w:rsid w:val="0044627D"/>
    <w:rsid w:val="0044661F"/>
    <w:rsid w:val="0045018D"/>
    <w:rsid w:val="00450EBD"/>
    <w:rsid w:val="0045192D"/>
    <w:rsid w:val="00454DEB"/>
    <w:rsid w:val="0045511D"/>
    <w:rsid w:val="00456742"/>
    <w:rsid w:val="00457057"/>
    <w:rsid w:val="00457B1B"/>
    <w:rsid w:val="00457D1C"/>
    <w:rsid w:val="00461D42"/>
    <w:rsid w:val="00462004"/>
    <w:rsid w:val="00463044"/>
    <w:rsid w:val="004642E5"/>
    <w:rsid w:val="00464799"/>
    <w:rsid w:val="00464930"/>
    <w:rsid w:val="0047231E"/>
    <w:rsid w:val="00472BFB"/>
    <w:rsid w:val="0047405E"/>
    <w:rsid w:val="004751C2"/>
    <w:rsid w:val="00476DD8"/>
    <w:rsid w:val="00480869"/>
    <w:rsid w:val="00480CDC"/>
    <w:rsid w:val="00482456"/>
    <w:rsid w:val="00486BD7"/>
    <w:rsid w:val="00490F9C"/>
    <w:rsid w:val="00497A15"/>
    <w:rsid w:val="00497B0D"/>
    <w:rsid w:val="004A027C"/>
    <w:rsid w:val="004A1F81"/>
    <w:rsid w:val="004A2A84"/>
    <w:rsid w:val="004A41E5"/>
    <w:rsid w:val="004A4902"/>
    <w:rsid w:val="004B01E1"/>
    <w:rsid w:val="004B067D"/>
    <w:rsid w:val="004B195F"/>
    <w:rsid w:val="004C2B28"/>
    <w:rsid w:val="004C37B4"/>
    <w:rsid w:val="004D1F96"/>
    <w:rsid w:val="004D298C"/>
    <w:rsid w:val="004D4C87"/>
    <w:rsid w:val="004D6252"/>
    <w:rsid w:val="004D73BA"/>
    <w:rsid w:val="004E057A"/>
    <w:rsid w:val="004E1E3A"/>
    <w:rsid w:val="004E5365"/>
    <w:rsid w:val="004E63A7"/>
    <w:rsid w:val="004F0BFF"/>
    <w:rsid w:val="004F0C24"/>
    <w:rsid w:val="004F1C4C"/>
    <w:rsid w:val="004F2668"/>
    <w:rsid w:val="004F4B1C"/>
    <w:rsid w:val="00500F10"/>
    <w:rsid w:val="005012F1"/>
    <w:rsid w:val="00501BD3"/>
    <w:rsid w:val="00504985"/>
    <w:rsid w:val="00504AC7"/>
    <w:rsid w:val="005060FC"/>
    <w:rsid w:val="005062D2"/>
    <w:rsid w:val="00506EE0"/>
    <w:rsid w:val="00510E0C"/>
    <w:rsid w:val="00514847"/>
    <w:rsid w:val="0051531D"/>
    <w:rsid w:val="005159BF"/>
    <w:rsid w:val="00516B7D"/>
    <w:rsid w:val="005224FB"/>
    <w:rsid w:val="005228D6"/>
    <w:rsid w:val="005231B8"/>
    <w:rsid w:val="00523715"/>
    <w:rsid w:val="00525717"/>
    <w:rsid w:val="00525A5D"/>
    <w:rsid w:val="005272DB"/>
    <w:rsid w:val="005277C0"/>
    <w:rsid w:val="00527F9A"/>
    <w:rsid w:val="00536700"/>
    <w:rsid w:val="00536A1A"/>
    <w:rsid w:val="00536DD7"/>
    <w:rsid w:val="0053770C"/>
    <w:rsid w:val="005378FE"/>
    <w:rsid w:val="005411DB"/>
    <w:rsid w:val="0054253D"/>
    <w:rsid w:val="0054378B"/>
    <w:rsid w:val="005533F6"/>
    <w:rsid w:val="00553E2E"/>
    <w:rsid w:val="005556CA"/>
    <w:rsid w:val="0055646A"/>
    <w:rsid w:val="00560569"/>
    <w:rsid w:val="005662C5"/>
    <w:rsid w:val="00571FD1"/>
    <w:rsid w:val="00573A61"/>
    <w:rsid w:val="00574E20"/>
    <w:rsid w:val="00577F90"/>
    <w:rsid w:val="0058377F"/>
    <w:rsid w:val="005849D6"/>
    <w:rsid w:val="00587572"/>
    <w:rsid w:val="00590C6C"/>
    <w:rsid w:val="00591560"/>
    <w:rsid w:val="00592F57"/>
    <w:rsid w:val="00595B09"/>
    <w:rsid w:val="0059608E"/>
    <w:rsid w:val="005A3AA8"/>
    <w:rsid w:val="005A4CDF"/>
    <w:rsid w:val="005A5E4E"/>
    <w:rsid w:val="005A72CB"/>
    <w:rsid w:val="005B28E5"/>
    <w:rsid w:val="005B3196"/>
    <w:rsid w:val="005B3AEF"/>
    <w:rsid w:val="005B6EBE"/>
    <w:rsid w:val="005C1793"/>
    <w:rsid w:val="005C35B4"/>
    <w:rsid w:val="005C50C8"/>
    <w:rsid w:val="005D0106"/>
    <w:rsid w:val="005D11CA"/>
    <w:rsid w:val="005D16FC"/>
    <w:rsid w:val="005D1829"/>
    <w:rsid w:val="005D1BA9"/>
    <w:rsid w:val="005D1F92"/>
    <w:rsid w:val="005D2C3A"/>
    <w:rsid w:val="005D3084"/>
    <w:rsid w:val="005D7109"/>
    <w:rsid w:val="005D78DA"/>
    <w:rsid w:val="005D7E59"/>
    <w:rsid w:val="005E1463"/>
    <w:rsid w:val="005E25F6"/>
    <w:rsid w:val="005E3750"/>
    <w:rsid w:val="005E405F"/>
    <w:rsid w:val="005E41CD"/>
    <w:rsid w:val="005E46F4"/>
    <w:rsid w:val="005E5089"/>
    <w:rsid w:val="005E6F80"/>
    <w:rsid w:val="005F00E5"/>
    <w:rsid w:val="005F0A48"/>
    <w:rsid w:val="005F516E"/>
    <w:rsid w:val="005F54A1"/>
    <w:rsid w:val="0060108F"/>
    <w:rsid w:val="0060368A"/>
    <w:rsid w:val="00603BB7"/>
    <w:rsid w:val="00604521"/>
    <w:rsid w:val="00606C82"/>
    <w:rsid w:val="0060791B"/>
    <w:rsid w:val="006109DC"/>
    <w:rsid w:val="00610DB5"/>
    <w:rsid w:val="0061103B"/>
    <w:rsid w:val="00612855"/>
    <w:rsid w:val="00612FA0"/>
    <w:rsid w:val="00613648"/>
    <w:rsid w:val="00613CA9"/>
    <w:rsid w:val="006141B2"/>
    <w:rsid w:val="0061479A"/>
    <w:rsid w:val="00615F4C"/>
    <w:rsid w:val="00616710"/>
    <w:rsid w:val="00616FD6"/>
    <w:rsid w:val="006179E5"/>
    <w:rsid w:val="00617BD2"/>
    <w:rsid w:val="006203B7"/>
    <w:rsid w:val="00621C5D"/>
    <w:rsid w:val="00621E1B"/>
    <w:rsid w:val="006236E3"/>
    <w:rsid w:val="00624314"/>
    <w:rsid w:val="006300F4"/>
    <w:rsid w:val="00631592"/>
    <w:rsid w:val="00635559"/>
    <w:rsid w:val="00635ACF"/>
    <w:rsid w:val="00636073"/>
    <w:rsid w:val="00636FAD"/>
    <w:rsid w:val="00643D9B"/>
    <w:rsid w:val="00644028"/>
    <w:rsid w:val="0064502E"/>
    <w:rsid w:val="0064520E"/>
    <w:rsid w:val="00645F84"/>
    <w:rsid w:val="0064776F"/>
    <w:rsid w:val="00647779"/>
    <w:rsid w:val="006502B0"/>
    <w:rsid w:val="00650913"/>
    <w:rsid w:val="006519A9"/>
    <w:rsid w:val="00651F60"/>
    <w:rsid w:val="00652260"/>
    <w:rsid w:val="00653336"/>
    <w:rsid w:val="00653B6D"/>
    <w:rsid w:val="0065418E"/>
    <w:rsid w:val="00655001"/>
    <w:rsid w:val="006552CD"/>
    <w:rsid w:val="00660426"/>
    <w:rsid w:val="00661DD6"/>
    <w:rsid w:val="00662F79"/>
    <w:rsid w:val="00665441"/>
    <w:rsid w:val="0066608D"/>
    <w:rsid w:val="00666E2D"/>
    <w:rsid w:val="00667D4B"/>
    <w:rsid w:val="00671707"/>
    <w:rsid w:val="0067183C"/>
    <w:rsid w:val="00674694"/>
    <w:rsid w:val="00677564"/>
    <w:rsid w:val="00677A2B"/>
    <w:rsid w:val="006827A5"/>
    <w:rsid w:val="0068496D"/>
    <w:rsid w:val="00684CAC"/>
    <w:rsid w:val="00692117"/>
    <w:rsid w:val="006944CA"/>
    <w:rsid w:val="006959C9"/>
    <w:rsid w:val="0069635F"/>
    <w:rsid w:val="00697143"/>
    <w:rsid w:val="00697C0E"/>
    <w:rsid w:val="006A0019"/>
    <w:rsid w:val="006A06F6"/>
    <w:rsid w:val="006A1087"/>
    <w:rsid w:val="006A175E"/>
    <w:rsid w:val="006A4A18"/>
    <w:rsid w:val="006B2C5E"/>
    <w:rsid w:val="006B602C"/>
    <w:rsid w:val="006B77A7"/>
    <w:rsid w:val="006B7B55"/>
    <w:rsid w:val="006C1BDE"/>
    <w:rsid w:val="006C25F1"/>
    <w:rsid w:val="006C3002"/>
    <w:rsid w:val="006C3E04"/>
    <w:rsid w:val="006C51E4"/>
    <w:rsid w:val="006C5F8E"/>
    <w:rsid w:val="006D12F2"/>
    <w:rsid w:val="006D6A98"/>
    <w:rsid w:val="006E31BD"/>
    <w:rsid w:val="006E33CF"/>
    <w:rsid w:val="006E651B"/>
    <w:rsid w:val="006F04C5"/>
    <w:rsid w:val="006F1165"/>
    <w:rsid w:val="006F36B7"/>
    <w:rsid w:val="006F396E"/>
    <w:rsid w:val="006F4DDF"/>
    <w:rsid w:val="006F728D"/>
    <w:rsid w:val="006F797F"/>
    <w:rsid w:val="00701767"/>
    <w:rsid w:val="007046FC"/>
    <w:rsid w:val="00705FBE"/>
    <w:rsid w:val="007065E1"/>
    <w:rsid w:val="007072E1"/>
    <w:rsid w:val="0070756F"/>
    <w:rsid w:val="007111D4"/>
    <w:rsid w:val="00711B61"/>
    <w:rsid w:val="00712510"/>
    <w:rsid w:val="00723268"/>
    <w:rsid w:val="00725DB1"/>
    <w:rsid w:val="00726318"/>
    <w:rsid w:val="00727D57"/>
    <w:rsid w:val="007309EB"/>
    <w:rsid w:val="007318F0"/>
    <w:rsid w:val="00734E89"/>
    <w:rsid w:val="0074012F"/>
    <w:rsid w:val="00742FC3"/>
    <w:rsid w:val="00743A89"/>
    <w:rsid w:val="00743F84"/>
    <w:rsid w:val="0075165B"/>
    <w:rsid w:val="00751808"/>
    <w:rsid w:val="00752024"/>
    <w:rsid w:val="00754B3E"/>
    <w:rsid w:val="00756134"/>
    <w:rsid w:val="00757941"/>
    <w:rsid w:val="00760CF4"/>
    <w:rsid w:val="00764991"/>
    <w:rsid w:val="0076511B"/>
    <w:rsid w:val="00765732"/>
    <w:rsid w:val="007657D1"/>
    <w:rsid w:val="00767C6B"/>
    <w:rsid w:val="007709B7"/>
    <w:rsid w:val="00774010"/>
    <w:rsid w:val="00774C50"/>
    <w:rsid w:val="00775151"/>
    <w:rsid w:val="00775668"/>
    <w:rsid w:val="00780346"/>
    <w:rsid w:val="00781E56"/>
    <w:rsid w:val="007861BA"/>
    <w:rsid w:val="00786A3D"/>
    <w:rsid w:val="00787F33"/>
    <w:rsid w:val="0079031B"/>
    <w:rsid w:val="00790A3E"/>
    <w:rsid w:val="00792780"/>
    <w:rsid w:val="007966FB"/>
    <w:rsid w:val="007978B8"/>
    <w:rsid w:val="00797DA9"/>
    <w:rsid w:val="00797E37"/>
    <w:rsid w:val="007A07D9"/>
    <w:rsid w:val="007A0D4F"/>
    <w:rsid w:val="007A17E5"/>
    <w:rsid w:val="007A3C29"/>
    <w:rsid w:val="007A409D"/>
    <w:rsid w:val="007A43A9"/>
    <w:rsid w:val="007A48CE"/>
    <w:rsid w:val="007A7CE7"/>
    <w:rsid w:val="007B0F01"/>
    <w:rsid w:val="007B21B6"/>
    <w:rsid w:val="007B2CEC"/>
    <w:rsid w:val="007B6383"/>
    <w:rsid w:val="007B762C"/>
    <w:rsid w:val="007C0F11"/>
    <w:rsid w:val="007C2168"/>
    <w:rsid w:val="007C4C10"/>
    <w:rsid w:val="007C7030"/>
    <w:rsid w:val="007D010F"/>
    <w:rsid w:val="007F5FFB"/>
    <w:rsid w:val="007F6713"/>
    <w:rsid w:val="008019F3"/>
    <w:rsid w:val="008028DA"/>
    <w:rsid w:val="0080483B"/>
    <w:rsid w:val="00805662"/>
    <w:rsid w:val="00810388"/>
    <w:rsid w:val="00810685"/>
    <w:rsid w:val="00811D20"/>
    <w:rsid w:val="00812C17"/>
    <w:rsid w:val="00812D0A"/>
    <w:rsid w:val="00813569"/>
    <w:rsid w:val="008176D4"/>
    <w:rsid w:val="00817AA7"/>
    <w:rsid w:val="008250D4"/>
    <w:rsid w:val="00825169"/>
    <w:rsid w:val="0082517F"/>
    <w:rsid w:val="008272CB"/>
    <w:rsid w:val="00830DCB"/>
    <w:rsid w:val="00833593"/>
    <w:rsid w:val="008346F9"/>
    <w:rsid w:val="00836830"/>
    <w:rsid w:val="008370A1"/>
    <w:rsid w:val="00840BBD"/>
    <w:rsid w:val="0084140C"/>
    <w:rsid w:val="00843EDD"/>
    <w:rsid w:val="008461BB"/>
    <w:rsid w:val="00846E75"/>
    <w:rsid w:val="008503AA"/>
    <w:rsid w:val="00854ACC"/>
    <w:rsid w:val="008551C3"/>
    <w:rsid w:val="00857FD5"/>
    <w:rsid w:val="008605AA"/>
    <w:rsid w:val="00861139"/>
    <w:rsid w:val="008639C3"/>
    <w:rsid w:val="00865FCE"/>
    <w:rsid w:val="00867309"/>
    <w:rsid w:val="00870F50"/>
    <w:rsid w:val="00871641"/>
    <w:rsid w:val="00873705"/>
    <w:rsid w:val="008744DA"/>
    <w:rsid w:val="0087456D"/>
    <w:rsid w:val="00876D26"/>
    <w:rsid w:val="00880645"/>
    <w:rsid w:val="00883DBB"/>
    <w:rsid w:val="00884912"/>
    <w:rsid w:val="00884C8C"/>
    <w:rsid w:val="008856B3"/>
    <w:rsid w:val="008925A8"/>
    <w:rsid w:val="0089385D"/>
    <w:rsid w:val="00894124"/>
    <w:rsid w:val="00895D92"/>
    <w:rsid w:val="0089617B"/>
    <w:rsid w:val="00896637"/>
    <w:rsid w:val="00896713"/>
    <w:rsid w:val="008A15DA"/>
    <w:rsid w:val="008A6A64"/>
    <w:rsid w:val="008B133A"/>
    <w:rsid w:val="008B1716"/>
    <w:rsid w:val="008B1966"/>
    <w:rsid w:val="008B1991"/>
    <w:rsid w:val="008B60C3"/>
    <w:rsid w:val="008C00E1"/>
    <w:rsid w:val="008C0220"/>
    <w:rsid w:val="008C06B5"/>
    <w:rsid w:val="008C10C0"/>
    <w:rsid w:val="008C1FF5"/>
    <w:rsid w:val="008C5CD3"/>
    <w:rsid w:val="008C5D14"/>
    <w:rsid w:val="008C6955"/>
    <w:rsid w:val="008C7DB0"/>
    <w:rsid w:val="008D06DA"/>
    <w:rsid w:val="008D1997"/>
    <w:rsid w:val="008D290A"/>
    <w:rsid w:val="008D2C67"/>
    <w:rsid w:val="008D4368"/>
    <w:rsid w:val="008E242E"/>
    <w:rsid w:val="008E2E29"/>
    <w:rsid w:val="008E3455"/>
    <w:rsid w:val="008E3612"/>
    <w:rsid w:val="008E3695"/>
    <w:rsid w:val="008E38AE"/>
    <w:rsid w:val="008E4A50"/>
    <w:rsid w:val="008F198E"/>
    <w:rsid w:val="008F2186"/>
    <w:rsid w:val="008F2F98"/>
    <w:rsid w:val="008F37BA"/>
    <w:rsid w:val="008F5C2F"/>
    <w:rsid w:val="00901339"/>
    <w:rsid w:val="00901D20"/>
    <w:rsid w:val="00904C70"/>
    <w:rsid w:val="0090547B"/>
    <w:rsid w:val="00905804"/>
    <w:rsid w:val="009069C9"/>
    <w:rsid w:val="00906F5F"/>
    <w:rsid w:val="00907A92"/>
    <w:rsid w:val="00911C66"/>
    <w:rsid w:val="009122CE"/>
    <w:rsid w:val="00913F7D"/>
    <w:rsid w:val="00914B4E"/>
    <w:rsid w:val="009164C6"/>
    <w:rsid w:val="00916B9C"/>
    <w:rsid w:val="009172A1"/>
    <w:rsid w:val="00922172"/>
    <w:rsid w:val="00922BDD"/>
    <w:rsid w:val="009234EB"/>
    <w:rsid w:val="009235DE"/>
    <w:rsid w:val="009237E6"/>
    <w:rsid w:val="00925E8A"/>
    <w:rsid w:val="00930244"/>
    <w:rsid w:val="0093202F"/>
    <w:rsid w:val="009321B8"/>
    <w:rsid w:val="00933123"/>
    <w:rsid w:val="00943A67"/>
    <w:rsid w:val="00945925"/>
    <w:rsid w:val="0094762B"/>
    <w:rsid w:val="00947BF0"/>
    <w:rsid w:val="00947D0F"/>
    <w:rsid w:val="00950820"/>
    <w:rsid w:val="00950A4D"/>
    <w:rsid w:val="00951E55"/>
    <w:rsid w:val="0095274E"/>
    <w:rsid w:val="009566EB"/>
    <w:rsid w:val="00956F79"/>
    <w:rsid w:val="00957E43"/>
    <w:rsid w:val="00966E71"/>
    <w:rsid w:val="00967345"/>
    <w:rsid w:val="00971337"/>
    <w:rsid w:val="00972591"/>
    <w:rsid w:val="0097300A"/>
    <w:rsid w:val="0097412F"/>
    <w:rsid w:val="00976FA8"/>
    <w:rsid w:val="00977073"/>
    <w:rsid w:val="00977A23"/>
    <w:rsid w:val="009806F7"/>
    <w:rsid w:val="00982CA2"/>
    <w:rsid w:val="009836C5"/>
    <w:rsid w:val="0098458A"/>
    <w:rsid w:val="00985009"/>
    <w:rsid w:val="0098526B"/>
    <w:rsid w:val="0098558D"/>
    <w:rsid w:val="00985E38"/>
    <w:rsid w:val="00986171"/>
    <w:rsid w:val="00987389"/>
    <w:rsid w:val="009874E3"/>
    <w:rsid w:val="00992276"/>
    <w:rsid w:val="0099523D"/>
    <w:rsid w:val="0099546D"/>
    <w:rsid w:val="00995A16"/>
    <w:rsid w:val="0099629D"/>
    <w:rsid w:val="009A1DC6"/>
    <w:rsid w:val="009A3634"/>
    <w:rsid w:val="009A5452"/>
    <w:rsid w:val="009A626E"/>
    <w:rsid w:val="009A66EA"/>
    <w:rsid w:val="009B040C"/>
    <w:rsid w:val="009B0466"/>
    <w:rsid w:val="009B06F9"/>
    <w:rsid w:val="009B35DF"/>
    <w:rsid w:val="009B3C68"/>
    <w:rsid w:val="009B48FD"/>
    <w:rsid w:val="009B5844"/>
    <w:rsid w:val="009B5FC4"/>
    <w:rsid w:val="009B75B5"/>
    <w:rsid w:val="009C2317"/>
    <w:rsid w:val="009C65E8"/>
    <w:rsid w:val="009C7613"/>
    <w:rsid w:val="009D52E0"/>
    <w:rsid w:val="009D6161"/>
    <w:rsid w:val="009D69F8"/>
    <w:rsid w:val="009E10A7"/>
    <w:rsid w:val="009E14BC"/>
    <w:rsid w:val="009E5DDA"/>
    <w:rsid w:val="009F05A8"/>
    <w:rsid w:val="009F0749"/>
    <w:rsid w:val="009F1642"/>
    <w:rsid w:val="009F3BE8"/>
    <w:rsid w:val="009F58F1"/>
    <w:rsid w:val="009F6265"/>
    <w:rsid w:val="00A01489"/>
    <w:rsid w:val="00A0454C"/>
    <w:rsid w:val="00A05380"/>
    <w:rsid w:val="00A05C7B"/>
    <w:rsid w:val="00A07F81"/>
    <w:rsid w:val="00A11202"/>
    <w:rsid w:val="00A13DB1"/>
    <w:rsid w:val="00A14046"/>
    <w:rsid w:val="00A144D7"/>
    <w:rsid w:val="00A147C5"/>
    <w:rsid w:val="00A14CEC"/>
    <w:rsid w:val="00A15D44"/>
    <w:rsid w:val="00A2064C"/>
    <w:rsid w:val="00A21E72"/>
    <w:rsid w:val="00A2380A"/>
    <w:rsid w:val="00A252C0"/>
    <w:rsid w:val="00A25508"/>
    <w:rsid w:val="00A257FC"/>
    <w:rsid w:val="00A2674B"/>
    <w:rsid w:val="00A27E96"/>
    <w:rsid w:val="00A30F48"/>
    <w:rsid w:val="00A30FCD"/>
    <w:rsid w:val="00A32BAF"/>
    <w:rsid w:val="00A3540A"/>
    <w:rsid w:val="00A357ED"/>
    <w:rsid w:val="00A406D8"/>
    <w:rsid w:val="00A412F4"/>
    <w:rsid w:val="00A43DE9"/>
    <w:rsid w:val="00A43E1D"/>
    <w:rsid w:val="00A44076"/>
    <w:rsid w:val="00A4642D"/>
    <w:rsid w:val="00A46D99"/>
    <w:rsid w:val="00A47961"/>
    <w:rsid w:val="00A53204"/>
    <w:rsid w:val="00A53A03"/>
    <w:rsid w:val="00A54CBE"/>
    <w:rsid w:val="00A5526C"/>
    <w:rsid w:val="00A56F8D"/>
    <w:rsid w:val="00A62031"/>
    <w:rsid w:val="00A64489"/>
    <w:rsid w:val="00A64ED0"/>
    <w:rsid w:val="00A72ED1"/>
    <w:rsid w:val="00A735C5"/>
    <w:rsid w:val="00A7363D"/>
    <w:rsid w:val="00A760BD"/>
    <w:rsid w:val="00A77833"/>
    <w:rsid w:val="00A816EF"/>
    <w:rsid w:val="00A818D8"/>
    <w:rsid w:val="00A848BF"/>
    <w:rsid w:val="00A86C4C"/>
    <w:rsid w:val="00A94468"/>
    <w:rsid w:val="00AA29F6"/>
    <w:rsid w:val="00AA2B89"/>
    <w:rsid w:val="00AA5C74"/>
    <w:rsid w:val="00AA6050"/>
    <w:rsid w:val="00AA6832"/>
    <w:rsid w:val="00AB3180"/>
    <w:rsid w:val="00AB34A3"/>
    <w:rsid w:val="00AB367C"/>
    <w:rsid w:val="00AB5328"/>
    <w:rsid w:val="00AC088F"/>
    <w:rsid w:val="00AC12CE"/>
    <w:rsid w:val="00AC13FC"/>
    <w:rsid w:val="00AC1D07"/>
    <w:rsid w:val="00AC5C6A"/>
    <w:rsid w:val="00AC763E"/>
    <w:rsid w:val="00AD37CA"/>
    <w:rsid w:val="00AD6409"/>
    <w:rsid w:val="00AD66BD"/>
    <w:rsid w:val="00AD72FA"/>
    <w:rsid w:val="00AD7AC0"/>
    <w:rsid w:val="00AE0864"/>
    <w:rsid w:val="00AE0AA5"/>
    <w:rsid w:val="00AE3BF2"/>
    <w:rsid w:val="00AE4739"/>
    <w:rsid w:val="00AE5DDC"/>
    <w:rsid w:val="00AE7392"/>
    <w:rsid w:val="00AF051C"/>
    <w:rsid w:val="00AF24DE"/>
    <w:rsid w:val="00AF2F03"/>
    <w:rsid w:val="00AF3363"/>
    <w:rsid w:val="00AF58C9"/>
    <w:rsid w:val="00B002DC"/>
    <w:rsid w:val="00B04457"/>
    <w:rsid w:val="00B04655"/>
    <w:rsid w:val="00B05956"/>
    <w:rsid w:val="00B05F4E"/>
    <w:rsid w:val="00B067D2"/>
    <w:rsid w:val="00B070B6"/>
    <w:rsid w:val="00B1042E"/>
    <w:rsid w:val="00B10F9A"/>
    <w:rsid w:val="00B123D3"/>
    <w:rsid w:val="00B14328"/>
    <w:rsid w:val="00B14421"/>
    <w:rsid w:val="00B14B7E"/>
    <w:rsid w:val="00B14EDA"/>
    <w:rsid w:val="00B15D80"/>
    <w:rsid w:val="00B1730A"/>
    <w:rsid w:val="00B17903"/>
    <w:rsid w:val="00B22F32"/>
    <w:rsid w:val="00B231F8"/>
    <w:rsid w:val="00B24A1E"/>
    <w:rsid w:val="00B26FBD"/>
    <w:rsid w:val="00B310C8"/>
    <w:rsid w:val="00B3397F"/>
    <w:rsid w:val="00B346D7"/>
    <w:rsid w:val="00B35769"/>
    <w:rsid w:val="00B36B2E"/>
    <w:rsid w:val="00B40BCC"/>
    <w:rsid w:val="00B43138"/>
    <w:rsid w:val="00B43D6C"/>
    <w:rsid w:val="00B44FDF"/>
    <w:rsid w:val="00B46D5E"/>
    <w:rsid w:val="00B46E62"/>
    <w:rsid w:val="00B51086"/>
    <w:rsid w:val="00B51A34"/>
    <w:rsid w:val="00B524AC"/>
    <w:rsid w:val="00B530D5"/>
    <w:rsid w:val="00B53363"/>
    <w:rsid w:val="00B55CD7"/>
    <w:rsid w:val="00B56ED9"/>
    <w:rsid w:val="00B57F70"/>
    <w:rsid w:val="00B655A5"/>
    <w:rsid w:val="00B66B27"/>
    <w:rsid w:val="00B67A5C"/>
    <w:rsid w:val="00B70208"/>
    <w:rsid w:val="00B741E6"/>
    <w:rsid w:val="00B746B8"/>
    <w:rsid w:val="00B74DD3"/>
    <w:rsid w:val="00B763EB"/>
    <w:rsid w:val="00B77B0B"/>
    <w:rsid w:val="00B80B83"/>
    <w:rsid w:val="00B81A24"/>
    <w:rsid w:val="00B8412A"/>
    <w:rsid w:val="00B84AA9"/>
    <w:rsid w:val="00B86641"/>
    <w:rsid w:val="00B87A34"/>
    <w:rsid w:val="00B91B67"/>
    <w:rsid w:val="00B935E1"/>
    <w:rsid w:val="00B93F67"/>
    <w:rsid w:val="00B95293"/>
    <w:rsid w:val="00B97D98"/>
    <w:rsid w:val="00BA2B91"/>
    <w:rsid w:val="00BA3308"/>
    <w:rsid w:val="00BA69BD"/>
    <w:rsid w:val="00BB053E"/>
    <w:rsid w:val="00BB189A"/>
    <w:rsid w:val="00BB2EEA"/>
    <w:rsid w:val="00BB45EF"/>
    <w:rsid w:val="00BB55F1"/>
    <w:rsid w:val="00BB5A0F"/>
    <w:rsid w:val="00BC21EA"/>
    <w:rsid w:val="00BC38A4"/>
    <w:rsid w:val="00BC3AD8"/>
    <w:rsid w:val="00BC4D21"/>
    <w:rsid w:val="00BD1105"/>
    <w:rsid w:val="00BD4159"/>
    <w:rsid w:val="00BD44B9"/>
    <w:rsid w:val="00BD486E"/>
    <w:rsid w:val="00BD67A6"/>
    <w:rsid w:val="00BE2C2B"/>
    <w:rsid w:val="00BE502C"/>
    <w:rsid w:val="00BE555F"/>
    <w:rsid w:val="00BE589D"/>
    <w:rsid w:val="00BE786A"/>
    <w:rsid w:val="00BF17F5"/>
    <w:rsid w:val="00BF17FC"/>
    <w:rsid w:val="00BF4A54"/>
    <w:rsid w:val="00BF4FE9"/>
    <w:rsid w:val="00BF576F"/>
    <w:rsid w:val="00BF58E9"/>
    <w:rsid w:val="00C04237"/>
    <w:rsid w:val="00C05596"/>
    <w:rsid w:val="00C061E7"/>
    <w:rsid w:val="00C06662"/>
    <w:rsid w:val="00C0675A"/>
    <w:rsid w:val="00C11F67"/>
    <w:rsid w:val="00C12C23"/>
    <w:rsid w:val="00C1421C"/>
    <w:rsid w:val="00C17141"/>
    <w:rsid w:val="00C1735B"/>
    <w:rsid w:val="00C178E0"/>
    <w:rsid w:val="00C17AA8"/>
    <w:rsid w:val="00C203D3"/>
    <w:rsid w:val="00C2107C"/>
    <w:rsid w:val="00C216FB"/>
    <w:rsid w:val="00C224A8"/>
    <w:rsid w:val="00C225F3"/>
    <w:rsid w:val="00C23B68"/>
    <w:rsid w:val="00C2474A"/>
    <w:rsid w:val="00C25245"/>
    <w:rsid w:val="00C2652A"/>
    <w:rsid w:val="00C33C9E"/>
    <w:rsid w:val="00C343E0"/>
    <w:rsid w:val="00C36788"/>
    <w:rsid w:val="00C36F2D"/>
    <w:rsid w:val="00C41E68"/>
    <w:rsid w:val="00C45FEF"/>
    <w:rsid w:val="00C46BB5"/>
    <w:rsid w:val="00C50235"/>
    <w:rsid w:val="00C504C5"/>
    <w:rsid w:val="00C50C2B"/>
    <w:rsid w:val="00C50D34"/>
    <w:rsid w:val="00C5233F"/>
    <w:rsid w:val="00C54EF0"/>
    <w:rsid w:val="00C55BFF"/>
    <w:rsid w:val="00C62B87"/>
    <w:rsid w:val="00C64C7C"/>
    <w:rsid w:val="00C67B5B"/>
    <w:rsid w:val="00C7187E"/>
    <w:rsid w:val="00C71E64"/>
    <w:rsid w:val="00C73D76"/>
    <w:rsid w:val="00C7561E"/>
    <w:rsid w:val="00C77704"/>
    <w:rsid w:val="00C80091"/>
    <w:rsid w:val="00C80D59"/>
    <w:rsid w:val="00C82A57"/>
    <w:rsid w:val="00C85851"/>
    <w:rsid w:val="00C86D6C"/>
    <w:rsid w:val="00C87DB9"/>
    <w:rsid w:val="00C87F03"/>
    <w:rsid w:val="00C9144A"/>
    <w:rsid w:val="00C92918"/>
    <w:rsid w:val="00C92959"/>
    <w:rsid w:val="00C93CAA"/>
    <w:rsid w:val="00C94543"/>
    <w:rsid w:val="00C94800"/>
    <w:rsid w:val="00C958BC"/>
    <w:rsid w:val="00C9601A"/>
    <w:rsid w:val="00C97EA9"/>
    <w:rsid w:val="00CA0311"/>
    <w:rsid w:val="00CA054B"/>
    <w:rsid w:val="00CA1717"/>
    <w:rsid w:val="00CA1AEB"/>
    <w:rsid w:val="00CA1C2A"/>
    <w:rsid w:val="00CA29E4"/>
    <w:rsid w:val="00CA5CDB"/>
    <w:rsid w:val="00CA68F3"/>
    <w:rsid w:val="00CA6CFD"/>
    <w:rsid w:val="00CB3588"/>
    <w:rsid w:val="00CB51C5"/>
    <w:rsid w:val="00CB5255"/>
    <w:rsid w:val="00CB5CD3"/>
    <w:rsid w:val="00CB6139"/>
    <w:rsid w:val="00CB6634"/>
    <w:rsid w:val="00CB758D"/>
    <w:rsid w:val="00CC022F"/>
    <w:rsid w:val="00CC0B4D"/>
    <w:rsid w:val="00CC545A"/>
    <w:rsid w:val="00CD3934"/>
    <w:rsid w:val="00CD3B13"/>
    <w:rsid w:val="00CD6182"/>
    <w:rsid w:val="00CE32D6"/>
    <w:rsid w:val="00CE4BE4"/>
    <w:rsid w:val="00CE4D5F"/>
    <w:rsid w:val="00CE7728"/>
    <w:rsid w:val="00CE7B47"/>
    <w:rsid w:val="00CE7C36"/>
    <w:rsid w:val="00CF4EFC"/>
    <w:rsid w:val="00CF5B54"/>
    <w:rsid w:val="00CF6285"/>
    <w:rsid w:val="00CF6D5E"/>
    <w:rsid w:val="00D012CC"/>
    <w:rsid w:val="00D10204"/>
    <w:rsid w:val="00D11193"/>
    <w:rsid w:val="00D11F55"/>
    <w:rsid w:val="00D139B2"/>
    <w:rsid w:val="00D14F1A"/>
    <w:rsid w:val="00D159FC"/>
    <w:rsid w:val="00D1734A"/>
    <w:rsid w:val="00D24EEC"/>
    <w:rsid w:val="00D26BC8"/>
    <w:rsid w:val="00D33878"/>
    <w:rsid w:val="00D348E4"/>
    <w:rsid w:val="00D36FF0"/>
    <w:rsid w:val="00D40154"/>
    <w:rsid w:val="00D41821"/>
    <w:rsid w:val="00D4327F"/>
    <w:rsid w:val="00D4432F"/>
    <w:rsid w:val="00D44F6E"/>
    <w:rsid w:val="00D45A95"/>
    <w:rsid w:val="00D53100"/>
    <w:rsid w:val="00D53199"/>
    <w:rsid w:val="00D6241D"/>
    <w:rsid w:val="00D64113"/>
    <w:rsid w:val="00D64641"/>
    <w:rsid w:val="00D67D46"/>
    <w:rsid w:val="00D723D7"/>
    <w:rsid w:val="00D736EE"/>
    <w:rsid w:val="00D758B9"/>
    <w:rsid w:val="00D75D5E"/>
    <w:rsid w:val="00D76ECC"/>
    <w:rsid w:val="00D772AE"/>
    <w:rsid w:val="00D81B83"/>
    <w:rsid w:val="00D912B5"/>
    <w:rsid w:val="00D914EB"/>
    <w:rsid w:val="00D93469"/>
    <w:rsid w:val="00D9499D"/>
    <w:rsid w:val="00D96972"/>
    <w:rsid w:val="00DA07D6"/>
    <w:rsid w:val="00DA1782"/>
    <w:rsid w:val="00DB15CC"/>
    <w:rsid w:val="00DB1F0F"/>
    <w:rsid w:val="00DB3790"/>
    <w:rsid w:val="00DB4AEB"/>
    <w:rsid w:val="00DB5288"/>
    <w:rsid w:val="00DB79DA"/>
    <w:rsid w:val="00DC2B78"/>
    <w:rsid w:val="00DC2E36"/>
    <w:rsid w:val="00DC2E90"/>
    <w:rsid w:val="00DC36A3"/>
    <w:rsid w:val="00DC536C"/>
    <w:rsid w:val="00DC574E"/>
    <w:rsid w:val="00DC5FE5"/>
    <w:rsid w:val="00DC6069"/>
    <w:rsid w:val="00DC7990"/>
    <w:rsid w:val="00DD00B8"/>
    <w:rsid w:val="00DD20C4"/>
    <w:rsid w:val="00DD3182"/>
    <w:rsid w:val="00DD3BCB"/>
    <w:rsid w:val="00DD485D"/>
    <w:rsid w:val="00DD4D80"/>
    <w:rsid w:val="00DD5322"/>
    <w:rsid w:val="00DD57CB"/>
    <w:rsid w:val="00DD6606"/>
    <w:rsid w:val="00DE4FF3"/>
    <w:rsid w:val="00DE565B"/>
    <w:rsid w:val="00DE5760"/>
    <w:rsid w:val="00DE5DDA"/>
    <w:rsid w:val="00DF2231"/>
    <w:rsid w:val="00DF27A4"/>
    <w:rsid w:val="00DF2C1A"/>
    <w:rsid w:val="00DF4C22"/>
    <w:rsid w:val="00DF6FF1"/>
    <w:rsid w:val="00E01B01"/>
    <w:rsid w:val="00E0491A"/>
    <w:rsid w:val="00E0662C"/>
    <w:rsid w:val="00E06FE3"/>
    <w:rsid w:val="00E10F4D"/>
    <w:rsid w:val="00E11D07"/>
    <w:rsid w:val="00E205FD"/>
    <w:rsid w:val="00E20C0A"/>
    <w:rsid w:val="00E21C25"/>
    <w:rsid w:val="00E2675E"/>
    <w:rsid w:val="00E35018"/>
    <w:rsid w:val="00E36558"/>
    <w:rsid w:val="00E41F8E"/>
    <w:rsid w:val="00E424DC"/>
    <w:rsid w:val="00E44221"/>
    <w:rsid w:val="00E45460"/>
    <w:rsid w:val="00E4610E"/>
    <w:rsid w:val="00E47D21"/>
    <w:rsid w:val="00E535D4"/>
    <w:rsid w:val="00E54060"/>
    <w:rsid w:val="00E54293"/>
    <w:rsid w:val="00E554E6"/>
    <w:rsid w:val="00E64CA7"/>
    <w:rsid w:val="00E65069"/>
    <w:rsid w:val="00E672EC"/>
    <w:rsid w:val="00E74208"/>
    <w:rsid w:val="00E74B0B"/>
    <w:rsid w:val="00E74B3E"/>
    <w:rsid w:val="00E7660C"/>
    <w:rsid w:val="00E77030"/>
    <w:rsid w:val="00E773F6"/>
    <w:rsid w:val="00E80330"/>
    <w:rsid w:val="00E84450"/>
    <w:rsid w:val="00E849F4"/>
    <w:rsid w:val="00E902BB"/>
    <w:rsid w:val="00E91506"/>
    <w:rsid w:val="00E918BA"/>
    <w:rsid w:val="00E920EB"/>
    <w:rsid w:val="00E958A2"/>
    <w:rsid w:val="00E96375"/>
    <w:rsid w:val="00E97392"/>
    <w:rsid w:val="00EA25A5"/>
    <w:rsid w:val="00EA4BC3"/>
    <w:rsid w:val="00EA6E64"/>
    <w:rsid w:val="00EB0923"/>
    <w:rsid w:val="00EB2763"/>
    <w:rsid w:val="00EB5C85"/>
    <w:rsid w:val="00EC0289"/>
    <w:rsid w:val="00ED07D4"/>
    <w:rsid w:val="00ED174B"/>
    <w:rsid w:val="00ED47FD"/>
    <w:rsid w:val="00ED69AF"/>
    <w:rsid w:val="00ED6F7A"/>
    <w:rsid w:val="00EE021A"/>
    <w:rsid w:val="00EE04D6"/>
    <w:rsid w:val="00EE1C3C"/>
    <w:rsid w:val="00EE68DB"/>
    <w:rsid w:val="00EE7ACA"/>
    <w:rsid w:val="00EF2761"/>
    <w:rsid w:val="00EF490C"/>
    <w:rsid w:val="00F01F6E"/>
    <w:rsid w:val="00F03F03"/>
    <w:rsid w:val="00F04903"/>
    <w:rsid w:val="00F103A1"/>
    <w:rsid w:val="00F126B3"/>
    <w:rsid w:val="00F12C8D"/>
    <w:rsid w:val="00F13076"/>
    <w:rsid w:val="00F14D5F"/>
    <w:rsid w:val="00F17F92"/>
    <w:rsid w:val="00F226F4"/>
    <w:rsid w:val="00F25A17"/>
    <w:rsid w:val="00F26A2D"/>
    <w:rsid w:val="00F26EA8"/>
    <w:rsid w:val="00F3009A"/>
    <w:rsid w:val="00F33205"/>
    <w:rsid w:val="00F33CE5"/>
    <w:rsid w:val="00F34B6A"/>
    <w:rsid w:val="00F35F0A"/>
    <w:rsid w:val="00F3729C"/>
    <w:rsid w:val="00F37BDD"/>
    <w:rsid w:val="00F41615"/>
    <w:rsid w:val="00F43159"/>
    <w:rsid w:val="00F4454D"/>
    <w:rsid w:val="00F445A1"/>
    <w:rsid w:val="00F447AA"/>
    <w:rsid w:val="00F52918"/>
    <w:rsid w:val="00F54178"/>
    <w:rsid w:val="00F5752F"/>
    <w:rsid w:val="00F61657"/>
    <w:rsid w:val="00F62249"/>
    <w:rsid w:val="00F62B88"/>
    <w:rsid w:val="00F63598"/>
    <w:rsid w:val="00F635CF"/>
    <w:rsid w:val="00F64CB8"/>
    <w:rsid w:val="00F65F27"/>
    <w:rsid w:val="00F74434"/>
    <w:rsid w:val="00F7570E"/>
    <w:rsid w:val="00F75FE4"/>
    <w:rsid w:val="00F76C34"/>
    <w:rsid w:val="00F8023B"/>
    <w:rsid w:val="00F82624"/>
    <w:rsid w:val="00F83653"/>
    <w:rsid w:val="00F83879"/>
    <w:rsid w:val="00F86E4F"/>
    <w:rsid w:val="00F91D94"/>
    <w:rsid w:val="00FA0947"/>
    <w:rsid w:val="00FA0AF9"/>
    <w:rsid w:val="00FA3AA6"/>
    <w:rsid w:val="00FA4F55"/>
    <w:rsid w:val="00FA6186"/>
    <w:rsid w:val="00FA74C6"/>
    <w:rsid w:val="00FA7A4E"/>
    <w:rsid w:val="00FB4360"/>
    <w:rsid w:val="00FB437C"/>
    <w:rsid w:val="00FB5FBE"/>
    <w:rsid w:val="00FB75C9"/>
    <w:rsid w:val="00FB7E5D"/>
    <w:rsid w:val="00FC01AB"/>
    <w:rsid w:val="00FC2109"/>
    <w:rsid w:val="00FC282F"/>
    <w:rsid w:val="00FC3834"/>
    <w:rsid w:val="00FC4095"/>
    <w:rsid w:val="00FC458C"/>
    <w:rsid w:val="00FC53A5"/>
    <w:rsid w:val="00FC63CA"/>
    <w:rsid w:val="00FD3CC0"/>
    <w:rsid w:val="00FD4314"/>
    <w:rsid w:val="00FD5D97"/>
    <w:rsid w:val="00FE0AC8"/>
    <w:rsid w:val="00FE492B"/>
    <w:rsid w:val="00FE7409"/>
    <w:rsid w:val="00FF0639"/>
    <w:rsid w:val="00FF0F56"/>
    <w:rsid w:val="00FF131E"/>
    <w:rsid w:val="00FF1E1D"/>
    <w:rsid w:val="00FF1E28"/>
    <w:rsid w:val="00FF39B1"/>
    <w:rsid w:val="00FF4F6D"/>
    <w:rsid w:val="00FF6811"/>
    <w:rsid w:val="00FF708B"/>
    <w:rsid w:val="00FF7963"/>
    <w:rsid w:val="00FF7AF5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4501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D44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4501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01A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0C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C6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556CA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16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16B7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1">
    <w:name w:val="1"/>
    <w:basedOn w:val="Normal"/>
    <w:uiPriority w:val="99"/>
    <w:rsid w:val="006F797F"/>
    <w:pPr>
      <w:widowControl w:val="0"/>
      <w:tabs>
        <w:tab w:val="left" w:pos="340"/>
      </w:tabs>
      <w:suppressAutoHyphens/>
      <w:autoSpaceDE w:val="0"/>
      <w:autoSpaceDN w:val="0"/>
      <w:adjustRightInd w:val="0"/>
      <w:spacing w:before="340" w:after="170" w:line="280" w:lineRule="atLeast"/>
      <w:ind w:left="340" w:hanging="340"/>
      <w:textAlignment w:val="center"/>
    </w:pPr>
    <w:rPr>
      <w:rFonts w:ascii="Century731 BT" w:eastAsiaTheme="minorEastAsia" w:hAnsi="Century731 BT" w:cs="Century731 BT"/>
      <w:b/>
      <w:bCs/>
      <w:color w:val="000000"/>
      <w:w w:val="90"/>
      <w:sz w:val="24"/>
      <w:szCs w:val="24"/>
      <w:lang w:eastAsia="pt-BR"/>
    </w:rPr>
  </w:style>
  <w:style w:type="paragraph" w:customStyle="1" w:styleId="seminrio1">
    <w:name w:val="seminário1"/>
    <w:basedOn w:val="Normal"/>
    <w:uiPriority w:val="99"/>
    <w:rsid w:val="006F797F"/>
    <w:pPr>
      <w:widowControl w:val="0"/>
      <w:tabs>
        <w:tab w:val="right" w:leader="dot" w:pos="5954"/>
      </w:tabs>
      <w:autoSpaceDE w:val="0"/>
      <w:autoSpaceDN w:val="0"/>
      <w:adjustRightInd w:val="0"/>
      <w:spacing w:after="794" w:line="358" w:lineRule="atLeast"/>
      <w:jc w:val="center"/>
      <w:textAlignment w:val="center"/>
    </w:pPr>
    <w:rPr>
      <w:rFonts w:ascii="Garamond" w:eastAsiaTheme="minorEastAsia" w:hAnsi="Garamond" w:cs="Garamond"/>
      <w:b/>
      <w:bCs/>
      <w:color w:val="000000"/>
      <w:sz w:val="32"/>
      <w:szCs w:val="32"/>
      <w:lang w:eastAsia="pt-BR"/>
    </w:rPr>
  </w:style>
  <w:style w:type="character" w:styleId="nfase">
    <w:name w:val="Emphasis"/>
    <w:basedOn w:val="Fontepargpadro"/>
    <w:uiPriority w:val="20"/>
    <w:qFormat/>
    <w:rsid w:val="007D010F"/>
    <w:rPr>
      <w:i/>
      <w:iCs/>
    </w:rPr>
  </w:style>
  <w:style w:type="paragraph" w:customStyle="1" w:styleId="10">
    <w:name w:val="1)"/>
    <w:basedOn w:val="Normal"/>
    <w:uiPriority w:val="99"/>
    <w:rsid w:val="00075F15"/>
    <w:pPr>
      <w:widowControl w:val="0"/>
      <w:tabs>
        <w:tab w:val="left" w:pos="283"/>
      </w:tabs>
      <w:autoSpaceDE w:val="0"/>
      <w:autoSpaceDN w:val="0"/>
      <w:adjustRightInd w:val="0"/>
      <w:spacing w:before="68" w:after="68" w:line="276" w:lineRule="atLeast"/>
      <w:ind w:left="283" w:hanging="283"/>
      <w:jc w:val="both"/>
      <w:textAlignment w:val="center"/>
    </w:pPr>
    <w:rPr>
      <w:rFonts w:ascii="Century731 BT" w:eastAsiaTheme="minorEastAsia" w:hAnsi="Century731 BT" w:cs="Century731 BT"/>
      <w:color w:val="000000"/>
      <w:lang w:eastAsia="pt-BR"/>
    </w:rPr>
  </w:style>
  <w:style w:type="character" w:styleId="Hyperlink">
    <w:name w:val="Hyperlink"/>
    <w:basedOn w:val="Fontepargpadro"/>
    <w:uiPriority w:val="99"/>
    <w:unhideWhenUsed/>
    <w:rsid w:val="00E11D07"/>
    <w:rPr>
      <w:color w:val="0000FF" w:themeColor="hyperlink"/>
      <w:u w:val="single"/>
    </w:rPr>
  </w:style>
  <w:style w:type="paragraph" w:customStyle="1" w:styleId="titcorpomenor">
    <w:name w:val="tit corpo menor"/>
    <w:basedOn w:val="10"/>
    <w:uiPriority w:val="99"/>
    <w:rsid w:val="0006450C"/>
    <w:pPr>
      <w:spacing w:before="283" w:after="170"/>
      <w:ind w:firstLine="0"/>
    </w:pPr>
    <w:rPr>
      <w:b/>
      <w:bCs/>
      <w:spacing w:val="-4"/>
      <w:w w:val="90"/>
      <w:sz w:val="20"/>
      <w:szCs w:val="20"/>
    </w:rPr>
  </w:style>
  <w:style w:type="paragraph" w:customStyle="1" w:styleId="corpomenor">
    <w:name w:val="corpo menor"/>
    <w:basedOn w:val="Normal"/>
    <w:uiPriority w:val="99"/>
    <w:rsid w:val="0006450C"/>
    <w:pPr>
      <w:widowControl w:val="0"/>
      <w:autoSpaceDE w:val="0"/>
      <w:autoSpaceDN w:val="0"/>
      <w:adjustRightInd w:val="0"/>
      <w:spacing w:before="57" w:after="57" w:line="240" w:lineRule="atLeast"/>
      <w:ind w:left="283"/>
      <w:jc w:val="both"/>
      <w:textAlignment w:val="center"/>
    </w:pPr>
    <w:rPr>
      <w:rFonts w:ascii="Century731 BT" w:eastAsiaTheme="minorEastAsia" w:hAnsi="Century731 BT" w:cs="Century731 BT"/>
      <w:color w:val="000000"/>
      <w:sz w:val="20"/>
      <w:szCs w:val="20"/>
      <w:lang w:eastAsia="pt-BR"/>
    </w:rPr>
  </w:style>
  <w:style w:type="paragraph" w:customStyle="1" w:styleId="texto">
    <w:name w:val="texto"/>
    <w:basedOn w:val="Normal"/>
    <w:uiPriority w:val="99"/>
    <w:rsid w:val="0006450C"/>
    <w:pPr>
      <w:widowControl w:val="0"/>
      <w:autoSpaceDE w:val="0"/>
      <w:autoSpaceDN w:val="0"/>
      <w:adjustRightInd w:val="0"/>
      <w:spacing w:before="68" w:after="68" w:line="276" w:lineRule="atLeast"/>
      <w:ind w:firstLine="567"/>
      <w:jc w:val="both"/>
      <w:textAlignment w:val="center"/>
    </w:pPr>
    <w:rPr>
      <w:rFonts w:ascii="Century731 BT" w:eastAsiaTheme="minorEastAsia" w:hAnsi="Century731 BT" w:cs="Century731 BT"/>
      <w:color w:val="000000"/>
      <w:lang w:eastAsia="pt-BR"/>
    </w:rPr>
  </w:style>
  <w:style w:type="paragraph" w:customStyle="1" w:styleId="signup-callout">
    <w:name w:val="signup-callout"/>
    <w:basedOn w:val="Normal"/>
    <w:rsid w:val="00B24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332C45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32C45"/>
    <w:rPr>
      <w:rFonts w:ascii="Arial" w:eastAsia="Arial" w:hAnsi="Arial" w:cs="Arial"/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45018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5018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45018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45018D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c-button">
    <w:name w:val="c-button"/>
    <w:basedOn w:val="Fontepargpadro"/>
    <w:rsid w:val="0045018D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45018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45018D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45018D"/>
    <w:rPr>
      <w:b/>
      <w:bCs/>
    </w:rPr>
  </w:style>
  <w:style w:type="paragraph" w:styleId="Textodenotadefim">
    <w:name w:val="endnote text"/>
    <w:basedOn w:val="Normal"/>
    <w:link w:val="TextodenotadefimChar"/>
    <w:uiPriority w:val="99"/>
    <w:unhideWhenUsed/>
    <w:rsid w:val="000848CE"/>
    <w:rPr>
      <w:rFonts w:ascii="Calibri" w:eastAsia="Calibri" w:hAnsi="Calibri" w:cs="Times New Roman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0848CE"/>
    <w:rPr>
      <w:rFonts w:ascii="Calibri" w:eastAsia="Calibri" w:hAnsi="Calibri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unhideWhenUsed/>
    <w:rsid w:val="000848CE"/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848CE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848CE"/>
    <w:rPr>
      <w:vertAlign w:val="superscript"/>
    </w:rPr>
  </w:style>
  <w:style w:type="paragraph" w:customStyle="1" w:styleId="cab">
    <w:name w:val="cab"/>
    <w:basedOn w:val="Normal"/>
    <w:rsid w:val="00F3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">
    <w:name w:val="par"/>
    <w:basedOn w:val="Normal"/>
    <w:rsid w:val="00F3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ite">
    <w:name w:val="cite"/>
    <w:basedOn w:val="Fontepargpadro"/>
    <w:rsid w:val="00F33CE5"/>
  </w:style>
  <w:style w:type="paragraph" w:customStyle="1" w:styleId="textbodypunindent">
    <w:name w:val="text_body_p_unindent"/>
    <w:basedOn w:val="Normal"/>
    <w:rsid w:val="00830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F-Citao1">
    <w:name w:val="STF-Citação1"/>
    <w:basedOn w:val="Normal"/>
    <w:uiPriority w:val="99"/>
    <w:rsid w:val="003153AD"/>
    <w:pPr>
      <w:widowControl w:val="0"/>
      <w:autoSpaceDE w:val="0"/>
      <w:autoSpaceDN w:val="0"/>
      <w:adjustRightInd w:val="0"/>
      <w:spacing w:after="0" w:line="264" w:lineRule="auto"/>
      <w:ind w:left="1701" w:firstLine="567"/>
      <w:jc w:val="both"/>
    </w:pPr>
    <w:rPr>
      <w:rFonts w:ascii="Palatino Linotype" w:eastAsiaTheme="minorEastAsia" w:hAnsi="Times New Roman" w:cs="Palatino Linotype"/>
      <w:sz w:val="24"/>
      <w:szCs w:val="24"/>
      <w:lang w:eastAsia="pt-BR"/>
    </w:rPr>
  </w:style>
  <w:style w:type="paragraph" w:customStyle="1" w:styleId="style14">
    <w:name w:val="style14"/>
    <w:basedOn w:val="Normal"/>
    <w:rsid w:val="00916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78">
    <w:name w:val="fontstyle78"/>
    <w:basedOn w:val="Fontepargpadro"/>
    <w:rsid w:val="009164C6"/>
  </w:style>
  <w:style w:type="character" w:customStyle="1" w:styleId="highlight">
    <w:name w:val="highlight"/>
    <w:basedOn w:val="Fontepargpadro"/>
    <w:rsid w:val="00F226F4"/>
  </w:style>
  <w:style w:type="character" w:customStyle="1" w:styleId="Ttulo4Char">
    <w:name w:val="Título 4 Char"/>
    <w:basedOn w:val="Fontepargpadro"/>
    <w:link w:val="Ttulo4"/>
    <w:uiPriority w:val="9"/>
    <w:semiHidden/>
    <w:rsid w:val="00001A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D4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nippet">
    <w:name w:val="snippet"/>
    <w:basedOn w:val="Normal"/>
    <w:rsid w:val="00BD4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fo">
    <w:name w:val="info"/>
    <w:basedOn w:val="Normal"/>
    <w:rsid w:val="00BD4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ntry-cat">
    <w:name w:val="entry-cat"/>
    <w:basedOn w:val="Fontepargpadro"/>
    <w:rsid w:val="00066368"/>
  </w:style>
  <w:style w:type="character" w:customStyle="1" w:styleId="a">
    <w:name w:val="a"/>
    <w:basedOn w:val="Fontepargpadro"/>
    <w:rsid w:val="003B785A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13C9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13C9E"/>
  </w:style>
  <w:style w:type="paragraph" w:customStyle="1" w:styleId="STF-Padro">
    <w:name w:val="STF-Padrão"/>
    <w:basedOn w:val="Normal"/>
    <w:uiPriority w:val="99"/>
    <w:rsid w:val="007978B8"/>
    <w:pPr>
      <w:widowControl w:val="0"/>
      <w:tabs>
        <w:tab w:val="left" w:pos="1701"/>
      </w:tabs>
      <w:autoSpaceDE w:val="0"/>
      <w:autoSpaceDN w:val="0"/>
      <w:adjustRightInd w:val="0"/>
      <w:spacing w:after="0" w:line="264" w:lineRule="auto"/>
      <w:ind w:firstLine="567"/>
      <w:jc w:val="both"/>
    </w:pPr>
    <w:rPr>
      <w:rFonts w:ascii="Palatino Linotype" w:eastAsiaTheme="minorEastAsia" w:hAnsi="Times New Roman" w:cs="Palatino Linotype"/>
      <w:sz w:val="26"/>
      <w:szCs w:val="26"/>
      <w:lang w:eastAsia="pt-BR"/>
    </w:rPr>
  </w:style>
  <w:style w:type="paragraph" w:customStyle="1" w:styleId="STF-PadroCentralizado">
    <w:name w:val="STF-PadrãoCentralizado"/>
    <w:basedOn w:val="Normal"/>
    <w:uiPriority w:val="99"/>
    <w:rsid w:val="007978B8"/>
    <w:pPr>
      <w:widowControl w:val="0"/>
      <w:autoSpaceDE w:val="0"/>
      <w:autoSpaceDN w:val="0"/>
      <w:adjustRightInd w:val="0"/>
      <w:spacing w:after="0" w:line="264" w:lineRule="auto"/>
      <w:jc w:val="center"/>
    </w:pPr>
    <w:rPr>
      <w:rFonts w:ascii="Palatino Linotype" w:eastAsiaTheme="minorEastAsia" w:hAnsi="Times New Roman" w:cs="Palatino Linotype"/>
      <w:sz w:val="26"/>
      <w:szCs w:val="26"/>
      <w:lang w:eastAsia="pt-BR"/>
    </w:rPr>
  </w:style>
  <w:style w:type="paragraph" w:customStyle="1" w:styleId="Ttulo11">
    <w:name w:val="Título 11"/>
    <w:basedOn w:val="Normal"/>
    <w:uiPriority w:val="1"/>
    <w:qFormat/>
    <w:rsid w:val="00775151"/>
    <w:pPr>
      <w:widowControl w:val="0"/>
      <w:spacing w:before="148" w:after="0" w:line="240" w:lineRule="auto"/>
      <w:ind w:left="462" w:hanging="36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l7">
    <w:name w:val="l7"/>
    <w:basedOn w:val="Fontepargpadro"/>
    <w:rsid w:val="00100DDA"/>
  </w:style>
  <w:style w:type="character" w:customStyle="1" w:styleId="l6">
    <w:name w:val="l6"/>
    <w:basedOn w:val="Fontepargpadro"/>
    <w:rsid w:val="00100DDA"/>
  </w:style>
  <w:style w:type="character" w:customStyle="1" w:styleId="l8">
    <w:name w:val="l8"/>
    <w:basedOn w:val="Fontepargpadro"/>
    <w:rsid w:val="00100DDA"/>
  </w:style>
  <w:style w:type="paragraph" w:customStyle="1" w:styleId="Semestilodepargrafo">
    <w:name w:val="[Sem estilo de parágrafo]"/>
    <w:rsid w:val="001937A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eastAsia="MS Mincho" w:hAnsi="Times" w:cs="Times"/>
      <w:color w:val="000000"/>
      <w:sz w:val="24"/>
      <w:szCs w:val="24"/>
      <w:lang w:eastAsia="pt-BR"/>
    </w:rPr>
  </w:style>
  <w:style w:type="paragraph" w:customStyle="1" w:styleId="a0">
    <w:name w:val="a)"/>
    <w:basedOn w:val="Semestilodepargrafo"/>
    <w:uiPriority w:val="99"/>
    <w:rsid w:val="001937A2"/>
    <w:pPr>
      <w:tabs>
        <w:tab w:val="left" w:pos="283"/>
      </w:tabs>
      <w:spacing w:before="40" w:after="40" w:line="276" w:lineRule="atLeast"/>
      <w:ind w:left="283" w:hanging="283"/>
      <w:jc w:val="both"/>
    </w:pPr>
    <w:rPr>
      <w:rFonts w:ascii="Century731 BT" w:hAnsi="Century731 BT" w:cs="Century731 BT"/>
      <w:sz w:val="22"/>
      <w:szCs w:val="22"/>
    </w:rPr>
  </w:style>
  <w:style w:type="paragraph" w:customStyle="1" w:styleId="Pargrafobsico">
    <w:name w:val="[Parágrafo básico]"/>
    <w:basedOn w:val="Semestilodepargrafo"/>
    <w:uiPriority w:val="99"/>
    <w:rsid w:val="001937A2"/>
  </w:style>
  <w:style w:type="character" w:customStyle="1" w:styleId="ff3">
    <w:name w:val="ff3"/>
    <w:basedOn w:val="Fontepargpadro"/>
    <w:rsid w:val="00FA74C6"/>
  </w:style>
  <w:style w:type="character" w:customStyle="1" w:styleId="ff4">
    <w:name w:val="ff4"/>
    <w:basedOn w:val="Fontepargpadro"/>
    <w:rsid w:val="00FA74C6"/>
  </w:style>
  <w:style w:type="character" w:customStyle="1" w:styleId="a1">
    <w:name w:val="_"/>
    <w:basedOn w:val="Fontepargpadro"/>
    <w:rsid w:val="00FA74C6"/>
  </w:style>
  <w:style w:type="character" w:customStyle="1" w:styleId="ff2">
    <w:name w:val="ff2"/>
    <w:basedOn w:val="Fontepargpadro"/>
    <w:rsid w:val="00375546"/>
  </w:style>
  <w:style w:type="character" w:customStyle="1" w:styleId="ff1">
    <w:name w:val="ff1"/>
    <w:basedOn w:val="Fontepargpadro"/>
    <w:rsid w:val="00375546"/>
  </w:style>
  <w:style w:type="character" w:customStyle="1" w:styleId="post-author">
    <w:name w:val="post-author"/>
    <w:basedOn w:val="Fontepargpadro"/>
    <w:rsid w:val="00AF2F03"/>
  </w:style>
  <w:style w:type="character" w:customStyle="1" w:styleId="fn">
    <w:name w:val="fn"/>
    <w:basedOn w:val="Fontepargpadro"/>
    <w:rsid w:val="00AF2F03"/>
  </w:style>
  <w:style w:type="character" w:customStyle="1" w:styleId="post-timestamp">
    <w:name w:val="post-timestamp"/>
    <w:basedOn w:val="Fontepargpadro"/>
    <w:rsid w:val="00AF2F03"/>
  </w:style>
  <w:style w:type="character" w:customStyle="1" w:styleId="Ttulo10">
    <w:name w:val="Título1"/>
    <w:basedOn w:val="Fontepargpadro"/>
    <w:rsid w:val="00AF2F03"/>
  </w:style>
  <w:style w:type="character" w:customStyle="1" w:styleId="post-siblings">
    <w:name w:val="post-siblings"/>
    <w:basedOn w:val="Fontepargpadro"/>
    <w:rsid w:val="00AF2F03"/>
  </w:style>
  <w:style w:type="character" w:customStyle="1" w:styleId="icon">
    <w:name w:val="icon"/>
    <w:basedOn w:val="Fontepargpadro"/>
    <w:rsid w:val="00AF2F03"/>
  </w:style>
  <w:style w:type="character" w:customStyle="1" w:styleId="author">
    <w:name w:val="author"/>
    <w:basedOn w:val="Fontepargpadro"/>
    <w:rsid w:val="00AF2F03"/>
  </w:style>
  <w:style w:type="character" w:customStyle="1" w:styleId="post-date">
    <w:name w:val="post-date"/>
    <w:basedOn w:val="Fontepargpadro"/>
    <w:rsid w:val="00AF2F03"/>
  </w:style>
  <w:style w:type="paragraph" w:customStyle="1" w:styleId="twowords">
    <w:name w:val="twowords"/>
    <w:basedOn w:val="Normal"/>
    <w:rsid w:val="0076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uthors">
    <w:name w:val="authors"/>
    <w:basedOn w:val="Normal"/>
    <w:rsid w:val="0076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">
    <w:name w:val="l"/>
    <w:basedOn w:val="Fontepargpadro"/>
    <w:rsid w:val="00323F5C"/>
  </w:style>
  <w:style w:type="paragraph" w:customStyle="1" w:styleId="cabealhopetio">
    <w:name w:val="cabeçalho petição"/>
    <w:rsid w:val="00031C97"/>
    <w:pPr>
      <w:widowControl w:val="0"/>
      <w:spacing w:after="720" w:line="-240" w:lineRule="auto"/>
      <w:jc w:val="both"/>
    </w:pPr>
    <w:rPr>
      <w:rFonts w:ascii="CG Times" w:eastAsia="Times New Roman" w:hAnsi="CG Times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16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14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7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1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3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9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9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1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36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57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459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5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4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4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8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93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28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5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7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1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8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18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73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67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66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6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84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9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8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96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02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1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43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64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917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97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027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30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033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979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29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701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31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703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5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8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4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1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1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1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9751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4797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8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2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4866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47868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5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3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0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5516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0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61993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3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1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7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4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71859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39790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2644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6866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7983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8085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20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8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1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73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7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9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4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81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1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5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8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4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8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6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1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1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1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16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44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441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21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966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080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332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966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711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1062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3709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197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13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573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9291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1578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0405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32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06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575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674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8362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159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994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63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712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30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930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93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8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372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38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700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636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78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75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5865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6986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421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710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0470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389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879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588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653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5215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463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727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3663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076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859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69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5456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56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7192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859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12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0989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81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2945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7130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06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037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046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362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95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221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1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731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5026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03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7439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6931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349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286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81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395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6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770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2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9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1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48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01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3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78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6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4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2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54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76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91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68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611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028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123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991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73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8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94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42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2107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741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115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9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7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07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9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99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8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7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62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3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36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305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9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69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33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158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115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15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48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846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666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100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5476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7403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712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2845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1603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649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0624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14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3253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509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312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310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22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8951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46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5159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5729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651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24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161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4676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9399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5551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854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72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8868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83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704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63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227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2353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2077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2942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6528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868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4749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3028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8970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4581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5527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5968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8376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315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925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0562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717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669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843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79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6635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2754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8908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9899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740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2104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285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1785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3109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252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90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9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7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4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6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4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5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9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28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62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2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5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40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92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23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64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7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9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1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0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1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7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1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7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0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1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2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0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6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55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018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2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73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6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23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77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902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8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42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73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59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81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57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83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26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45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3795">
          <w:marLeft w:val="170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4601">
          <w:marLeft w:val="170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84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9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03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60564">
          <w:marLeft w:val="170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96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5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8117">
          <w:marLeft w:val="170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473">
          <w:marLeft w:val="170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9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0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8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3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2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1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9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4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27702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  <w:divsChild>
                <w:div w:id="425199742">
                  <w:marLeft w:val="0"/>
                  <w:marRight w:val="0"/>
                  <w:marTop w:val="0"/>
                  <w:marBottom w:val="0"/>
                  <w:div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divBdr>
                </w:div>
              </w:divsChild>
            </w:div>
          </w:divsChild>
        </w:div>
      </w:divsChild>
    </w:div>
    <w:div w:id="9245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6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4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44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7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0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9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3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6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2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6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4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4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9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6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0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0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7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6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3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53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65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8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9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4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83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25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93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5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2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2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48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0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9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7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24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3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72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43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33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0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1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9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1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8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6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81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26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1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87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71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1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97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6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0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4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0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39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8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89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61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49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98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15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47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2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41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54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45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67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41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4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11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56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50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4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38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79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86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63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1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04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17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65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6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1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60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68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77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24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9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23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0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75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30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48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63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52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21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06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7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12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53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4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03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6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9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25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0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1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6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6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4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7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82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169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133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5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46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388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72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13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92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244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9858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1738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2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8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6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8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1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0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7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1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0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0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7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3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0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5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6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0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7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0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9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35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991448">
                                      <w:marLeft w:val="0"/>
                                      <w:marRight w:val="0"/>
                                      <w:marTop w:val="18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34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76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40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1006884">
                                      <w:marLeft w:val="0"/>
                                      <w:marRight w:val="0"/>
                                      <w:marTop w:val="188"/>
                                      <w:marBottom w:val="2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12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11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146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91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41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11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78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42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83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49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427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34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8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76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8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4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1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0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40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f.jus.br/portal/inteiroTeor/obterInteiroTeor.asp?idDocumento=8152960" TargetMode="External"/><Relationship Id="rId18" Type="http://schemas.openxmlformats.org/officeDocument/2006/relationships/hyperlink" Target="http://www.migalhas.com.br/dePeso/16,MI247696,41046-A+obrigatoriedade+de+concessao+de+efeito+suspensivo+aos+embargos+a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stf.jus.br/portal/processo/verProcessoPeca.asp?id=91545696&amp;tipoApp=.pdf" TargetMode="External"/><Relationship Id="rId17" Type="http://schemas.openxmlformats.org/officeDocument/2006/relationships/hyperlink" Target="http://www.migalhas.com.br/dePeso/16,MI247696,41046-A+obrigatoriedade+de+concessao+de+efeito+suspensivo+aos+embargos+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galhas.com.br/dePeso/16,MI247696,41046-A+obrigatoriedade+de+concessao+de+efeito+suspensivo+aos+embargos+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f.jus.br/portal/processo/verProcessoPeca.asp?id=85920753&amp;tipoApp=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igalhas.com.br/dePeso/16,MI247696,41046-A+obrigatoriedade+de+concessao+de+efeito+suspensivo+aos+embargos+a" TargetMode="External"/><Relationship Id="rId10" Type="http://schemas.openxmlformats.org/officeDocument/2006/relationships/hyperlink" Target="http://www.stf.jus.br/portal/inteiroTeor/obterInteiroTeor.asp?idDocumento=10329095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redir.stf.jus.br/paginadorpub/paginador.jsp?docTP=AC&amp;docID=459624" TargetMode="External"/><Relationship Id="rId14" Type="http://schemas.openxmlformats.org/officeDocument/2006/relationships/hyperlink" Target="http://www.stf.jus.br/portal/jurisprudencia/listarJurisprudencia.asp?s1=%281055%2EPROC%2E%29&amp;base=baseInformativo&amp;url=http://tinyurl.com/j7wgyn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B3C73-7A04-4915-90C4-512CB7B5E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3943</Words>
  <Characters>21297</Characters>
  <Application>Microsoft Office Word</Application>
  <DocSecurity>4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reinaldo</cp:lastModifiedBy>
  <cp:revision>2</cp:revision>
  <cp:lastPrinted>2016-04-01T13:54:00Z</cp:lastPrinted>
  <dcterms:created xsi:type="dcterms:W3CDTF">2017-04-07T19:44:00Z</dcterms:created>
  <dcterms:modified xsi:type="dcterms:W3CDTF">2017-04-07T19:44:00Z</dcterms:modified>
</cp:coreProperties>
</file>