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4F" w:rsidRPr="004E41F2" w:rsidRDefault="00C17F4F" w:rsidP="00940D52">
      <w:pPr>
        <w:pStyle w:val="Semestilodepargrafo"/>
        <w:suppressAutoHyphens/>
        <w:jc w:val="center"/>
        <w:rPr>
          <w:rFonts w:ascii="Arial" w:hAnsi="Arial" w:cs="Arial"/>
          <w:smallCaps/>
          <w:sz w:val="20"/>
          <w:szCs w:val="20"/>
        </w:rPr>
      </w:pPr>
      <w:bookmarkStart w:id="0" w:name="_GoBack"/>
      <w:bookmarkEnd w:id="0"/>
    </w:p>
    <w:p w:rsidR="00C17F4F" w:rsidRPr="004E41F2" w:rsidRDefault="00C17F4F" w:rsidP="00940D52">
      <w:pPr>
        <w:pStyle w:val="Semestilodepargrafo"/>
        <w:suppressAutoHyphens/>
        <w:jc w:val="center"/>
        <w:rPr>
          <w:rFonts w:ascii="Arial" w:hAnsi="Arial" w:cs="Arial"/>
          <w:smallCaps/>
          <w:sz w:val="20"/>
          <w:szCs w:val="20"/>
        </w:rPr>
      </w:pPr>
    </w:p>
    <w:p w:rsidR="009C7A8D" w:rsidRDefault="009C7A8D" w:rsidP="00940D52">
      <w:pPr>
        <w:pStyle w:val="Semestilodepargrafo"/>
        <w:suppressAutoHyphens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9C7A8D" w:rsidRDefault="009C7A8D" w:rsidP="00940D52">
      <w:pPr>
        <w:pStyle w:val="Semestilodepargrafo"/>
        <w:suppressAutoHyphens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940D52" w:rsidRPr="004E41F2" w:rsidRDefault="00940D52" w:rsidP="00940D52">
      <w:pPr>
        <w:pStyle w:val="Semestilodepargrafo"/>
        <w:suppressAutoHyphens/>
        <w:jc w:val="center"/>
        <w:rPr>
          <w:rFonts w:ascii="Arial" w:hAnsi="Arial" w:cs="Arial"/>
          <w:b/>
          <w:bCs/>
          <w:smallCaps/>
          <w:sz w:val="48"/>
          <w:szCs w:val="48"/>
        </w:rPr>
      </w:pPr>
      <w:r w:rsidRPr="004E41F2">
        <w:rPr>
          <w:rFonts w:ascii="Arial" w:hAnsi="Arial" w:cs="Arial"/>
          <w:b/>
          <w:bCs/>
          <w:caps/>
          <w:sz w:val="36"/>
          <w:szCs w:val="36"/>
        </w:rPr>
        <w:t>CURSO DE ESPECIALIZAÇÃO EM Direito Tributário</w:t>
      </w:r>
    </w:p>
    <w:p w:rsidR="00940D52" w:rsidRPr="004E41F2" w:rsidRDefault="00940D52" w:rsidP="00940D5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color w:val="000000"/>
          <w:sz w:val="32"/>
          <w:szCs w:val="32"/>
        </w:rPr>
      </w:pPr>
      <w:r w:rsidRPr="004E41F2">
        <w:rPr>
          <w:rFonts w:ascii="Arial" w:hAnsi="Arial" w:cs="Arial"/>
          <w:color w:val="000000"/>
          <w:sz w:val="28"/>
          <w:szCs w:val="28"/>
        </w:rPr>
        <w:t>Módulo Controle da Incidência Tributária</w:t>
      </w:r>
    </w:p>
    <w:p w:rsidR="00940D52" w:rsidRPr="004E41F2" w:rsidRDefault="00940D52" w:rsidP="00940D52">
      <w:pPr>
        <w:suppressAutoHyphens/>
        <w:autoSpaceDE w:val="0"/>
        <w:autoSpaceDN w:val="0"/>
        <w:adjustRightInd w:val="0"/>
        <w:spacing w:before="119" w:after="0" w:line="288" w:lineRule="auto"/>
        <w:jc w:val="center"/>
        <w:textAlignment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:rsidR="00940D52" w:rsidRPr="004E41F2" w:rsidRDefault="00940D52" w:rsidP="00940D52">
      <w:pPr>
        <w:suppressAutoHyphens/>
        <w:autoSpaceDE w:val="0"/>
        <w:autoSpaceDN w:val="0"/>
        <w:adjustRightInd w:val="0"/>
        <w:spacing w:before="119"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41F2">
        <w:rPr>
          <w:rFonts w:ascii="Arial" w:hAnsi="Arial" w:cs="Arial"/>
          <w:b/>
          <w:bCs/>
          <w:smallCaps/>
          <w:color w:val="000000"/>
          <w:sz w:val="28"/>
          <w:szCs w:val="28"/>
        </w:rPr>
        <w:t>Presidente</w:t>
      </w:r>
    </w:p>
    <w:p w:rsidR="00940D52" w:rsidRPr="004E41F2" w:rsidRDefault="00940D52" w:rsidP="00940D52">
      <w:pPr>
        <w:keepNext/>
        <w:tabs>
          <w:tab w:val="left" w:pos="1060"/>
        </w:tabs>
        <w:suppressAutoHyphens/>
        <w:autoSpaceDE w:val="0"/>
        <w:autoSpaceDN w:val="0"/>
        <w:adjustRightInd w:val="0"/>
        <w:spacing w:before="57" w:after="113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41F2">
        <w:rPr>
          <w:rFonts w:ascii="Arial" w:hAnsi="Arial" w:cs="Arial"/>
          <w:i/>
          <w:iCs/>
          <w:color w:val="000000"/>
          <w:sz w:val="24"/>
          <w:szCs w:val="24"/>
        </w:rPr>
        <w:t>Paulo de Barros Carvalho</w:t>
      </w:r>
    </w:p>
    <w:p w:rsidR="00940D52" w:rsidRPr="004E41F2" w:rsidRDefault="00940D52" w:rsidP="00940D52">
      <w:pPr>
        <w:suppressAutoHyphens/>
        <w:autoSpaceDE w:val="0"/>
        <w:autoSpaceDN w:val="0"/>
        <w:adjustRightInd w:val="0"/>
        <w:spacing w:before="119"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41F2">
        <w:rPr>
          <w:rFonts w:ascii="Arial" w:hAnsi="Arial" w:cs="Arial"/>
          <w:b/>
          <w:bCs/>
          <w:smallCaps/>
          <w:color w:val="000000"/>
          <w:sz w:val="28"/>
          <w:szCs w:val="28"/>
        </w:rPr>
        <w:t>Coordenadora</w:t>
      </w:r>
    </w:p>
    <w:p w:rsidR="00940D52" w:rsidRPr="004E41F2" w:rsidRDefault="00940D52" w:rsidP="00940D52">
      <w:pPr>
        <w:keepNext/>
        <w:tabs>
          <w:tab w:val="left" w:pos="1060"/>
        </w:tabs>
        <w:suppressAutoHyphens/>
        <w:autoSpaceDE w:val="0"/>
        <w:autoSpaceDN w:val="0"/>
        <w:adjustRightInd w:val="0"/>
        <w:spacing w:before="28"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41F2">
        <w:rPr>
          <w:rFonts w:ascii="Arial" w:hAnsi="Arial" w:cs="Arial"/>
          <w:i/>
          <w:iCs/>
          <w:color w:val="000000"/>
          <w:sz w:val="24"/>
          <w:szCs w:val="24"/>
        </w:rPr>
        <w:t>Priscila de Souza</w:t>
      </w:r>
    </w:p>
    <w:p w:rsidR="00940D52" w:rsidRPr="004E41F2" w:rsidRDefault="00940D52" w:rsidP="00856B08">
      <w:pPr>
        <w:pStyle w:val="Semestilodepargrafo"/>
        <w:spacing w:after="454"/>
        <w:jc w:val="center"/>
        <w:rPr>
          <w:rFonts w:ascii="Arial" w:hAnsi="Arial" w:cs="Arial"/>
        </w:rPr>
      </w:pPr>
      <w:r w:rsidRPr="004E41F2">
        <w:rPr>
          <w:rFonts w:ascii="Arial" w:hAnsi="Arial" w:cs="Arial"/>
          <w:b/>
          <w:bCs/>
          <w:sz w:val="28"/>
          <w:szCs w:val="28"/>
        </w:rPr>
        <w:br w:type="page"/>
      </w:r>
    </w:p>
    <w:p w:rsidR="00B3293A" w:rsidRPr="004E41F2" w:rsidRDefault="00B3293A" w:rsidP="00BD57E7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I</w:t>
      </w:r>
    </w:p>
    <w:p w:rsidR="00B3293A" w:rsidRPr="004E41F2" w:rsidRDefault="00B3293A">
      <w:pPr>
        <w:pStyle w:val="Semestilodepargrafo"/>
        <w:tabs>
          <w:tab w:val="right" w:leader="dot" w:pos="5954"/>
        </w:tabs>
        <w:suppressAutoHyphens/>
        <w:spacing w:after="794"/>
        <w:jc w:val="center"/>
        <w:rPr>
          <w:rFonts w:ascii="Arial" w:hAnsi="Arial" w:cs="Arial"/>
          <w:b/>
          <w:bCs/>
          <w:sz w:val="32"/>
          <w:szCs w:val="32"/>
        </w:rPr>
      </w:pPr>
      <w:r w:rsidRPr="004E41F2">
        <w:rPr>
          <w:rFonts w:ascii="Arial" w:hAnsi="Arial" w:cs="Arial"/>
          <w:b/>
          <w:bCs/>
          <w:sz w:val="32"/>
          <w:szCs w:val="32"/>
        </w:rPr>
        <w:t>REGRA-MATRIZ DE INCIDÊNCIA, OBRIGAÇÃO TRIBUTÁRIA E</w:t>
      </w:r>
      <w:r w:rsidRPr="004E41F2">
        <w:rPr>
          <w:rFonts w:ascii="Arial" w:hAnsi="Arial" w:cs="Arial"/>
          <w:b/>
          <w:bCs/>
          <w:sz w:val="32"/>
          <w:szCs w:val="32"/>
        </w:rPr>
        <w:br/>
        <w:t>SUJEIÇÃO PASSIVA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Que é norma jurídica? E regra-matriz de incidência tributária (RMIT)? Qual a função do consequente normativo?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Distinguir: obrigação tributária e deveres instrumentais. Multa pelo não pagamento caracteriza-se como obrigação tributária? Justifique analisando criticamente o art. 113 do CTN.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Que é sujeição passiva? Definir os conceitos de: (i) sujeito passivo; (ii) contribuinte; (iii) responsável tributário; e (iv) substituto tributário – distinguindo: substituição tributária para trás; substituição (conve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cional); agente de retenção e substituição para frente. O responsável (art. 121, II, do CTN) é: (i) sujeito passivo da relação jurídica tribut</w:t>
      </w:r>
      <w:r w:rsidRPr="004E41F2">
        <w:rPr>
          <w:rFonts w:ascii="Arial" w:hAnsi="Arial" w:cs="Arial"/>
        </w:rPr>
        <w:t>á</w:t>
      </w:r>
      <w:r w:rsidRPr="004E41F2">
        <w:rPr>
          <w:rFonts w:ascii="Arial" w:hAnsi="Arial" w:cs="Arial"/>
        </w:rPr>
        <w:t>ria; (ii) de relação de dever instrumental; ou (iii) de relação jurídica sancionatória?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4.</w:t>
      </w:r>
      <w:r w:rsidRPr="004E41F2">
        <w:rPr>
          <w:rFonts w:ascii="Arial" w:hAnsi="Arial" w:cs="Arial"/>
        </w:rPr>
        <w:tab/>
        <w:t>A empresa “A” adquiriu estabelecimento industrial da empresa “B” e continuou sua atividade. Aproximadamente um ano depois da aqu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sição, a empresa “A” é demandada pelo Fisco em relação a fatos geradores realizados pela empresa “B”. No contrato de compra e venda não há disciplina a respeito das dívidas tributárias anteriores à aquisição.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 xml:space="preserve">a) Pode o Fisco, após a indigitada operação de compra e venda, exigir os tributos, cujos fatos geradores foram realizados por “B” </w:t>
      </w:r>
      <w:r w:rsidRPr="004E41F2">
        <w:rPr>
          <w:rFonts w:ascii="Arial" w:hAnsi="Arial" w:cs="Arial"/>
        </w:rPr>
        <w:lastRenderedPageBreak/>
        <w:t>antes de sua aquisição, diretamente de “A”? Há relevância se houver no contrato cláusula de responsabilidade de “B” quanto aos débitos anteriores à operação? (Vide anexo 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A empresa “A” sujeita-se às sanções tributárias materiais: (i) multa de mora, (ii) multa pelo não pagamento de tributo, (iii) juros e (iv) multa pelo descumprimento de deveres instrumentais, se aplicadas antes da operação de compra e venda? E se aplicadas depois da operação? (Vide anexos II e III).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5.</w:t>
      </w:r>
      <w:r w:rsidRPr="004E41F2">
        <w:rPr>
          <w:rFonts w:ascii="Arial" w:hAnsi="Arial" w:cs="Arial"/>
        </w:rPr>
        <w:tab/>
        <w:t>Quanto ao artigo 135 do CTN,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Qual a espécie de responsabilidade prevista? Poderia o fiscal lavrar auto de infração contra o contribuinte e, posteriormente, ex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cutar o sócio de forma solidária à empresa? (Vide anexos IV e V).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A dissolução irregular da sociedade caracteriza infração à lei apta a ensejar a responsabilidade do(s) sócio(s) pelas dívidas da pessoa jurídica? E o mero inadimplemento da obrigação de pagar o tributo?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(Vide anexos VI, VII e VIII).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>Que é grupo econômico? Quais os critérios para caracterizar a fo</w:t>
      </w:r>
      <w:r w:rsidRPr="004E41F2">
        <w:rPr>
          <w:rFonts w:ascii="Arial" w:hAnsi="Arial" w:cs="Arial"/>
        </w:rPr>
        <w:t>r</w:t>
      </w:r>
      <w:r w:rsidRPr="004E41F2">
        <w:rPr>
          <w:rFonts w:ascii="Arial" w:hAnsi="Arial" w:cs="Arial"/>
        </w:rPr>
        <w:t>mação de grupo econômico de empresas no ordenamento jurídico brasileiro? A caracterização implica reconhecimento de responsab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lidade solidária? (Vide anexo IX).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7.</w:t>
      </w:r>
      <w:r w:rsidRPr="004E41F2">
        <w:rPr>
          <w:rFonts w:ascii="Arial" w:hAnsi="Arial" w:cs="Arial"/>
        </w:rPr>
        <w:tab/>
        <w:t>Dada a seguinte Lei (fictícia):</w:t>
      </w:r>
    </w:p>
    <w:p w:rsidR="00B3293A" w:rsidRPr="00856B08" w:rsidRDefault="00B3293A">
      <w:pPr>
        <w:pStyle w:val="titcorpomenor"/>
        <w:rPr>
          <w:rFonts w:ascii="Courier New" w:hAnsi="Courier New" w:cs="Courier New"/>
          <w:spacing w:val="0"/>
          <w:w w:val="100"/>
        </w:rPr>
      </w:pPr>
      <w:r w:rsidRPr="00856B08">
        <w:rPr>
          <w:rFonts w:ascii="Courier New" w:hAnsi="Courier New" w:cs="Courier New"/>
          <w:spacing w:val="0"/>
          <w:w w:val="100"/>
        </w:rPr>
        <w:t>Prefeitura de São Pedro, Lei n. 5.151, de 12/10/2001, D.M. 25/10/2001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1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Fica instituída taxa de conservação e limpeza urbana para o custeio do serviço público municipal de conservação e limpeza de vias públicas.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2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A taxa tem como fato gerador a prestação do serviço de limpeza das vias públicas.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3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A base de cálculo é o valor venal do imóvel.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4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A alíquota é de 0,1%.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lastRenderedPageBreak/>
        <w:t>Art. 5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O contribuinte é o proprietário do imóvel.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6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Dá-se a incidência todo dia 1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de cada ano.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7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A importância devida a título de tributo deve ser recolhida até o décimo dia do segundo mês subsequente.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§ 1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No caso de locação, o locatário é responsável pelo recolhimento do tributo.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§ 2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No caso de compra e venda realizada antes do prazo para o pagamento e após o 1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dia do ano, o responsável pelo pagamento do tributo é o adquirente do imóvel.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§ 3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O não recolhimento no prazo estipulado implica multa de 20% do valor do tributo devido.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>Art. 8</w:t>
      </w:r>
      <w:r w:rsidRPr="00856B08">
        <w:rPr>
          <w:rFonts w:ascii="Courier New" w:hAnsi="Courier New" w:cs="Courier New"/>
          <w:strike/>
        </w:rPr>
        <w:t>º</w:t>
      </w:r>
      <w:r w:rsidRPr="00856B08">
        <w:rPr>
          <w:rFonts w:ascii="Courier New" w:hAnsi="Courier New" w:cs="Courier New"/>
        </w:rPr>
        <w:t xml:space="preserve"> Fica o contribuinte obrigado a entregar para a Secretaria de Planejamento Urbano declaração do valor imobiliário até o dia 10 de novembro de cada ano.</w:t>
      </w:r>
    </w:p>
    <w:p w:rsidR="00B3293A" w:rsidRPr="00856B08" w:rsidRDefault="00B3293A">
      <w:pPr>
        <w:pStyle w:val="corpomenor"/>
        <w:rPr>
          <w:rFonts w:ascii="Courier New" w:hAnsi="Courier New" w:cs="Courier New"/>
        </w:rPr>
      </w:pPr>
      <w:r w:rsidRPr="00856B08">
        <w:rPr>
          <w:rFonts w:ascii="Courier New" w:hAnsi="Courier New" w:cs="Courier New"/>
        </w:rPr>
        <w:t xml:space="preserve">Parágrafo único. A ausência da entrega no prazo a que se refere o </w:t>
      </w:r>
      <w:r w:rsidRPr="00856B08">
        <w:rPr>
          <w:rFonts w:ascii="Courier New" w:hAnsi="Courier New" w:cs="Courier New"/>
          <w:i/>
          <w:iCs/>
        </w:rPr>
        <w:t>caput</w:t>
      </w:r>
      <w:r w:rsidRPr="00856B08">
        <w:rPr>
          <w:rFonts w:ascii="Courier New" w:hAnsi="Courier New" w:cs="Courier New"/>
        </w:rPr>
        <w:t xml:space="preserve"> deste artigo implicará multa de 100 UFIRS.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Construir as normas jurídicas veiculadas nessa lei, identificando os critérios do consequente da RMIT.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Quais as funções da base de cálculo? A base de cálculo eleita é compatível com a hipótese tributária? Se incompatíveis, qual deve prevalecer para efeito de se determinar a espécie tributária: o enu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ciado da hipótese tributária ou o enunciado da base de cálculo? Ambos? Nenhum dos dois?</w:t>
      </w:r>
    </w:p>
    <w:p w:rsidR="00856B08" w:rsidRDefault="00856B08">
      <w:pPr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:rsidR="00B3293A" w:rsidRPr="004E41F2" w:rsidRDefault="00B3293A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II</w:t>
      </w:r>
    </w:p>
    <w:p w:rsidR="00B3293A" w:rsidRPr="004E41F2" w:rsidRDefault="00B3293A">
      <w:pPr>
        <w:pStyle w:val="seminrio1"/>
        <w:suppressAutoHyphens/>
        <w:rPr>
          <w:rFonts w:ascii="Arial" w:hAnsi="Arial" w:cs="Arial"/>
        </w:rPr>
      </w:pPr>
      <w:r w:rsidRPr="004E41F2">
        <w:rPr>
          <w:rFonts w:ascii="Arial" w:hAnsi="Arial" w:cs="Arial"/>
        </w:rPr>
        <w:t>CONTROLE PROCESSUAL DA INCIDÊNCIA: DECLARAÇÃO DE INCONSTITUCIONALIDADE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Quais são os instrumentos de controle de constitucionalidade? E</w:t>
      </w:r>
      <w:r w:rsidRPr="004E41F2">
        <w:rPr>
          <w:rFonts w:ascii="Arial" w:hAnsi="Arial" w:cs="Arial"/>
        </w:rPr>
        <w:t>x</w:t>
      </w:r>
      <w:r w:rsidRPr="004E41F2">
        <w:rPr>
          <w:rFonts w:ascii="Arial" w:hAnsi="Arial" w:cs="Arial"/>
        </w:rPr>
        <w:t>plicar as diferentes técnicas de interpretação adotadas pelo STF no controle de constitucionalidade. Explicar a modulação de efeitos prescrita no artigo 27 da Lei n. 9.868/99.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Os conceitos de controle concreto e abstrato de constitucionalidade podem ser equiparados aos conceitos de controle difuso e conce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trado, respectivamente? Que espécie de controle de constitucion</w:t>
      </w:r>
      <w:r w:rsidRPr="004E41F2">
        <w:rPr>
          <w:rFonts w:ascii="Arial" w:hAnsi="Arial" w:cs="Arial"/>
        </w:rPr>
        <w:t>a</w:t>
      </w:r>
      <w:r w:rsidRPr="004E41F2">
        <w:rPr>
          <w:rFonts w:ascii="Arial" w:hAnsi="Arial" w:cs="Arial"/>
        </w:rPr>
        <w:t>lidade o STF exerce ao analisar pretensão deduzida em ação de r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clamação (art. 102, I, “l”, da CF)? Concreto ou abstrato, difuso ou concentrado?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Que significa afirmar que as sentenças produzidas em sede de ADIN e ADECON possuem “efeito dúplice”? As decisões proferidas em sede de ADIN e ADECON sempre vinculam os demais órgãos do Poder Executivo e Judiciário? E os órgãos do Poder Legislativo? O efeito vinculante da súmula referida no art. 103-A, da CF/88, intr</w:t>
      </w:r>
      <w:r w:rsidRPr="004E41F2">
        <w:rPr>
          <w:rFonts w:ascii="Arial" w:hAnsi="Arial" w:cs="Arial"/>
        </w:rPr>
        <w:t>o</w:t>
      </w:r>
      <w:r w:rsidRPr="004E41F2">
        <w:rPr>
          <w:rFonts w:ascii="Arial" w:hAnsi="Arial" w:cs="Arial"/>
        </w:rPr>
        <w:t>duzido pela EC n. 45/04, é o mesmo da ADIN? Justifique sua re</w:t>
      </w:r>
      <w:r w:rsidRPr="004E41F2">
        <w:rPr>
          <w:rFonts w:ascii="Arial" w:hAnsi="Arial" w:cs="Arial"/>
        </w:rPr>
        <w:t>s</w:t>
      </w:r>
      <w:r w:rsidRPr="004E41F2">
        <w:rPr>
          <w:rFonts w:ascii="Arial" w:hAnsi="Arial" w:cs="Arial"/>
        </w:rPr>
        <w:t>posta.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4.</w:t>
      </w:r>
      <w:r w:rsidRPr="004E41F2">
        <w:rPr>
          <w:rFonts w:ascii="Arial" w:hAnsi="Arial" w:cs="Arial"/>
        </w:rPr>
        <w:tab/>
        <w:t>O Supremo Tribunal Federal tem a prerrogativa de rever seus pos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 xml:space="preserve">cionamentos ou também está inexoravelmente vinculado às decisões por ele produzidas em controle abstrato de constitucionalidade? Se </w:t>
      </w:r>
      <w:r w:rsidRPr="004E41F2">
        <w:rPr>
          <w:rFonts w:ascii="Arial" w:hAnsi="Arial" w:cs="Arial"/>
        </w:rPr>
        <w:lastRenderedPageBreak/>
        <w:t>determinada lei tributária, num dado momento histórico, é declarada constitucional em sede de ADECON, poderá, futuramente, após mudança substancial dos membros desse tribunal, ser declarada inconstitucional em sede de ADIN? (Vide ADI n. 223- MC, no site www.stf.jus.br).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5.</w:t>
      </w:r>
      <w:r w:rsidRPr="004E41F2">
        <w:rPr>
          <w:rFonts w:ascii="Arial" w:hAnsi="Arial" w:cs="Arial"/>
        </w:rPr>
        <w:tab/>
        <w:t>O parágrafo único do art. 741 do CPC prevê a possibilidade de desconstituição, por meio de embargos à execução, de título exec</w:t>
      </w:r>
      <w:r w:rsidRPr="004E41F2">
        <w:rPr>
          <w:rFonts w:ascii="Arial" w:hAnsi="Arial" w:cs="Arial"/>
        </w:rPr>
        <w:t>u</w:t>
      </w:r>
      <w:r w:rsidRPr="004E41F2">
        <w:rPr>
          <w:rFonts w:ascii="Arial" w:hAnsi="Arial" w:cs="Arial"/>
        </w:rPr>
        <w:t>tivo fundado em lei ou ato normativo declarados inconstitucionais pelo Supremo Tribunal Federal ou em aplicação ou interpretação tidas por incompatíveis com a Constituição Federal. Pergunta-se: (i) A declaração de inconstitucionalidade a que ele se refere é a prov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niente de controle abstrato ou também inclui aquelas emanadas em controle concreto? (ii) É necessário que a declaração de inconstit</w:t>
      </w:r>
      <w:r w:rsidRPr="004E41F2">
        <w:rPr>
          <w:rFonts w:ascii="Arial" w:hAnsi="Arial" w:cs="Arial"/>
        </w:rPr>
        <w:t>u</w:t>
      </w:r>
      <w:r w:rsidRPr="004E41F2">
        <w:rPr>
          <w:rFonts w:ascii="Arial" w:hAnsi="Arial" w:cs="Arial"/>
        </w:rPr>
        <w:t>cionalidade seja anterior à formação do título executivo? Essa al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gação pode perfazer conteúdo de eventual exceção de pré-executividade ou restringe-se aos embargos do devedor? (Vide anexo 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>Contribuinte ajuíza ação declaratória de inexistência de relação jur</w:t>
      </w:r>
      <w:r w:rsidRPr="004E41F2">
        <w:rPr>
          <w:rFonts w:ascii="Arial" w:hAnsi="Arial" w:cs="Arial"/>
        </w:rPr>
        <w:t>í</w:t>
      </w:r>
      <w:r w:rsidRPr="004E41F2">
        <w:rPr>
          <w:rFonts w:ascii="Arial" w:hAnsi="Arial" w:cs="Arial"/>
        </w:rPr>
        <w:t>dico-tributária que o obrigue em relação a tributo instituído pela lei n. X.XXX/SP, que seria, em seu sentir, inconstitucional por violar a competência do Estado em matéria de imposto. Paralelamente a isso, o STF, em sede de ADIN, declara constitucional a Lei n. Y.YYY/RJ, de teor idêntico, fazendo-o, contudo, em relação a a</w:t>
      </w:r>
      <w:r w:rsidRPr="004E41F2">
        <w:rPr>
          <w:rFonts w:ascii="Arial" w:hAnsi="Arial" w:cs="Arial"/>
        </w:rPr>
        <w:t>r</w:t>
      </w:r>
      <w:r w:rsidRPr="004E41F2">
        <w:rPr>
          <w:rFonts w:ascii="Arial" w:hAnsi="Arial" w:cs="Arial"/>
        </w:rPr>
        <w:t>gumento diverso.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A sentença a ser proferida pelo juiz da ação declaratória está submetida ao efeito vinculante da decisão do STF? Como deve o juiz da ação declaratória agir: (i) examinar o mérito da ação, ou (ii) e</w:t>
      </w:r>
      <w:r w:rsidRPr="004E41F2">
        <w:rPr>
          <w:rFonts w:ascii="Arial" w:hAnsi="Arial" w:cs="Arial"/>
        </w:rPr>
        <w:t>x</w:t>
      </w:r>
      <w:r w:rsidRPr="004E41F2">
        <w:rPr>
          <w:rFonts w:ascii="Arial" w:hAnsi="Arial" w:cs="Arial"/>
        </w:rPr>
        <w:t>tingui-la, sem julgamento do direito material? (Vide votos na Recl. n. 3014/SP no site www.stf.jus.br).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Se o STF tivesse se pronunciado sobre o mesmo argumento veiculado na ação declaratória (violação à competência do Estado em matéria de imposto), qual solução se colocaria adequada?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lastRenderedPageBreak/>
        <w:tab/>
        <w:t>c) Se a referida ação declaratória já tivesse sido definitivamente julgada, poder-se-ia falar em ação rescisória com base no julgamento do STF? E se o prazo para propositura dessa ação (02 anos) estiver exaurido? (Vide anexo II).</w:t>
      </w:r>
    </w:p>
    <w:p w:rsidR="00B3293A" w:rsidRPr="004E41F2" w:rsidRDefault="00325476">
      <w:pPr>
        <w:pStyle w:val="texto"/>
        <w:ind w:firstLine="0"/>
        <w:rPr>
          <w:rFonts w:ascii="Arial" w:hAnsi="Arial" w:cs="Arial"/>
        </w:rPr>
      </w:pPr>
      <w:r w:rsidRPr="004E41F2">
        <w:rPr>
          <w:rFonts w:ascii="Arial" w:hAnsi="Arial" w:cs="Arial"/>
        </w:rPr>
        <w:br w:type="page"/>
      </w:r>
    </w:p>
    <w:p w:rsidR="00B3293A" w:rsidRPr="004E41F2" w:rsidRDefault="00B3293A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III</w:t>
      </w:r>
    </w:p>
    <w:p w:rsidR="00B3293A" w:rsidRPr="004E41F2" w:rsidRDefault="00B3293A">
      <w:pPr>
        <w:pStyle w:val="seminrio1"/>
        <w:suppressAutoHyphens/>
        <w:rPr>
          <w:rFonts w:ascii="Arial" w:hAnsi="Arial" w:cs="Arial"/>
        </w:rPr>
      </w:pPr>
      <w:r w:rsidRPr="004E41F2">
        <w:rPr>
          <w:rFonts w:ascii="Arial" w:hAnsi="Arial" w:cs="Arial"/>
        </w:rPr>
        <w:t>SISTEMA, COMPETÊNCIA E PRINCÍPIOS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Que é sistema? Há diferença entre sistema e ordenamento jurídico? Pode-se dizer que o direito positivo se caracteriza como um sistema?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Que se entende por “sistema constitucional tributário”? Qual sua função no direito tributário?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Que é princípio? Há diferença entre regras e princípios? No caso de conflito qual deve prevalecer? E no caso de conflito entre princípios, qual critério deve informar a solução? (Vide anexo 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4.</w:t>
      </w:r>
      <w:r w:rsidRPr="004E41F2">
        <w:rPr>
          <w:rFonts w:ascii="Arial" w:hAnsi="Arial" w:cs="Arial"/>
        </w:rPr>
        <w:tab/>
        <w:t>Identificar, nas situações a seguir, se algum princípio foi desrespe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tado e, em caso afirmativo, indicar qual: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instituição e regulamentação de dever instrumental por meio de instrução normativa (vide anexo II);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estipulação de graus de risco da atividade laborativa (para o SAT) por meio de decreto (vide anexo III);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c) multas sancionatórias na percentagem de 75% (vide anexos IV e V);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d) imposto de importação com alíquota de 150%;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e) lei municipal ou distrital que institui responsabilidade pelo crédito tributário a terceira pessoa;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f) elaboração pelo CONFAZ de lista de produtos semielaborados sujeitos à incidência do ICMS (vide anexo VI).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5.</w:t>
      </w:r>
      <w:r w:rsidRPr="004E41F2">
        <w:rPr>
          <w:rFonts w:ascii="Arial" w:hAnsi="Arial" w:cs="Arial"/>
        </w:rPr>
        <w:tab/>
        <w:t>Que é competência tributária? Quais as características da comp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lastRenderedPageBreak/>
        <w:t>tência tributária? Analisar a facultatividade do seu exercício relat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vamente à Lei de Responsabilidade Fiscal (LC n. 101/2000), que veda a transferência voluntária de receitas a entes que tenham de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xado de instituir algum tributo de sua competência.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>A Emenda Constitucional n. 39/2002 acrescentou à Constituição o art. 149-A e parágrafo único, dispondo:</w:t>
      </w:r>
    </w:p>
    <w:p w:rsidR="00B3293A" w:rsidRPr="00E75E0B" w:rsidRDefault="00B3293A">
      <w:pPr>
        <w:pStyle w:val="10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ab/>
        <w:t>“Art. 149-A. Os Municípios e o Distrito Federal poderão instituir contribuição, na forma das re</w:t>
      </w:r>
      <w:r w:rsidRPr="00E75E0B">
        <w:rPr>
          <w:rFonts w:ascii="Courier New" w:hAnsi="Courier New" w:cs="Courier New"/>
        </w:rPr>
        <w:t>s</w:t>
      </w:r>
      <w:r w:rsidRPr="00E75E0B">
        <w:rPr>
          <w:rFonts w:ascii="Courier New" w:hAnsi="Courier New" w:cs="Courier New"/>
        </w:rPr>
        <w:t>pectivas leis, para o custeio do serviço de iluminação pública, observado o disposto no art. 150, I e III.</w:t>
      </w:r>
    </w:p>
    <w:p w:rsidR="00B3293A" w:rsidRPr="00E75E0B" w:rsidRDefault="00B3293A">
      <w:pPr>
        <w:pStyle w:val="10"/>
        <w:rPr>
          <w:rFonts w:ascii="Courier New" w:hAnsi="Courier New" w:cs="Courier New"/>
          <w:i/>
          <w:iCs/>
        </w:rPr>
      </w:pPr>
      <w:r w:rsidRPr="00E75E0B">
        <w:rPr>
          <w:rFonts w:ascii="Courier New" w:hAnsi="Courier New" w:cs="Courier New"/>
          <w:i/>
          <w:iCs/>
        </w:rPr>
        <w:tab/>
        <w:t xml:space="preserve">Parágrafo único. </w:t>
      </w:r>
      <w:r w:rsidRPr="00E75E0B">
        <w:rPr>
          <w:rFonts w:ascii="Courier New" w:hAnsi="Courier New" w:cs="Courier New"/>
        </w:rPr>
        <w:t>É facultada a cobrança da contr</w:t>
      </w:r>
      <w:r w:rsidRPr="00E75E0B">
        <w:rPr>
          <w:rFonts w:ascii="Courier New" w:hAnsi="Courier New" w:cs="Courier New"/>
        </w:rPr>
        <w:t>i</w:t>
      </w:r>
      <w:r w:rsidRPr="00E75E0B">
        <w:rPr>
          <w:rFonts w:ascii="Courier New" w:hAnsi="Courier New" w:cs="Courier New"/>
        </w:rPr>
        <w:t>buição a que se refere o caput, na fatura de consumo de energia elétrica</w:t>
      </w:r>
      <w:r w:rsidRPr="00E75E0B">
        <w:rPr>
          <w:rFonts w:ascii="Courier New" w:hAnsi="Courier New" w:cs="Courier New"/>
          <w:i/>
          <w:iCs/>
        </w:rPr>
        <w:t>”.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Com fundamento nesse dispositivo, a Prefeitura de Itumambé inst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tuiu o seguinte tributo:</w:t>
      </w:r>
    </w:p>
    <w:p w:rsidR="00B3293A" w:rsidRPr="00E75E0B" w:rsidRDefault="00B3293A">
      <w:pPr>
        <w:pStyle w:val="titcorpomenor"/>
        <w:rPr>
          <w:rFonts w:ascii="Courier New" w:hAnsi="Courier New" w:cs="Courier New"/>
          <w:spacing w:val="0"/>
          <w:w w:val="100"/>
        </w:rPr>
      </w:pPr>
      <w:r w:rsidRPr="00E75E0B">
        <w:rPr>
          <w:rFonts w:ascii="Courier New" w:hAnsi="Courier New" w:cs="Courier New"/>
          <w:spacing w:val="0"/>
          <w:w w:val="100"/>
        </w:rPr>
        <w:t>Prefeitura Municipal de Itumambé, Decreto Municipal 3.708 de 10/10/03 (DOM 13/10/03)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Art. 1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Fica instituída contribuição para o custeio do serviço municipal de energia elétrica que tem como fato gerador a prestação do serviço de energia elétrica pelo Município.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Art. 2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A base de cálculo é o valor da fatura de consumo de energia elétrica.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§ 1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A alíquota é de 0,5%.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§ 2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Os contribuintes que morarem na região central pagarão 50% a mais do valor devido.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Art. 3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Contribuinte é o consumidor de energia elétrica.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Art. 4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Compete à Secretaria de Finanças fiscalizar o abatimento realizado pela concessionária.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Art. 5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A importância devida a título dessa contribuição deve ser paga até o último dia do mês subsequente e recolhida </w:t>
      </w:r>
      <w:r w:rsidRPr="00E75E0B">
        <w:rPr>
          <w:rFonts w:ascii="Courier New" w:hAnsi="Courier New" w:cs="Courier New"/>
        </w:rPr>
        <w:lastRenderedPageBreak/>
        <w:t>pela concessionária de energia elétrica juntamente com a fatura mensal de consumo, ficando a concessionária re</w:t>
      </w:r>
      <w:r w:rsidRPr="00E75E0B">
        <w:rPr>
          <w:rFonts w:ascii="Courier New" w:hAnsi="Courier New" w:cs="Courier New"/>
        </w:rPr>
        <w:t>s</w:t>
      </w:r>
      <w:r w:rsidRPr="00E75E0B">
        <w:rPr>
          <w:rFonts w:ascii="Courier New" w:hAnsi="Courier New" w:cs="Courier New"/>
        </w:rPr>
        <w:t>ponsável pelo abatimento do montante recolhido da fatura municipal.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Parágrafo único. O não-pagamento da contribuição, ou o não repasse, implica multa de 150 UFIRs.</w:t>
      </w:r>
    </w:p>
    <w:p w:rsidR="00B3293A" w:rsidRPr="00E75E0B" w:rsidRDefault="00B3293A">
      <w:pPr>
        <w:pStyle w:val="corpomenor"/>
        <w:rPr>
          <w:rFonts w:ascii="Courier New" w:hAnsi="Courier New" w:cs="Courier New"/>
        </w:rPr>
      </w:pPr>
      <w:r w:rsidRPr="00E75E0B">
        <w:rPr>
          <w:rFonts w:ascii="Courier New" w:hAnsi="Courier New" w:cs="Courier New"/>
        </w:rPr>
        <w:t>Art. 6</w:t>
      </w:r>
      <w:r w:rsidRPr="00E75E0B">
        <w:rPr>
          <w:rFonts w:ascii="Courier New" w:hAnsi="Courier New" w:cs="Courier New"/>
          <w:strike/>
        </w:rPr>
        <w:t>º</w:t>
      </w:r>
      <w:r w:rsidRPr="00E75E0B">
        <w:rPr>
          <w:rFonts w:ascii="Courier New" w:hAnsi="Courier New" w:cs="Courier New"/>
        </w:rPr>
        <w:t xml:space="preserve"> Esta lei entra em vigor na data de sua publicação, devendo produzir todos os seus efeitos a partir do dia 01/11/03.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O sistema constitucional tributário brasileiro admite alterações na faixa de competência tributária das pessoas políticas? Há alguma vedação à ampliação da competência tributária municipal por meio de emenda constitucional? Em caso afirmativo, qual(is)?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Os Municípios podem, na criação de tal contribuição, com fu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damento no art. 149-A da CF, utilizar uma das materialidades que lhes foram atribuídas constitucionalmente para a instituição de i</w:t>
      </w:r>
      <w:r w:rsidRPr="004E41F2">
        <w:rPr>
          <w:rFonts w:ascii="Arial" w:hAnsi="Arial" w:cs="Arial"/>
        </w:rPr>
        <w:t>m</w:t>
      </w:r>
      <w:r w:rsidRPr="004E41F2">
        <w:rPr>
          <w:rFonts w:ascii="Arial" w:hAnsi="Arial" w:cs="Arial"/>
        </w:rPr>
        <w:t>postos? E das materialidades atribuídas aos Estados, Distrito F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deral e União por ocasião da repartição constitucional das comp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tências para instituição de impostos? Há vedação constitucional quanto à materialidade eleita: “consumir energia”? Justifique (vide anexo VII).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c) Quais princípios tributários não foram observados pela Prefeitura de Itumambé ao instituir esse tributo?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d) A alteração do prazo de pagamento deve respeitar o princípio da anterioridade? (Vide anexo VIII).</w:t>
      </w:r>
    </w:p>
    <w:p w:rsidR="00856B08" w:rsidRDefault="00856B08">
      <w:pPr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:rsidR="00B3293A" w:rsidRPr="004E41F2" w:rsidRDefault="00B3293A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IV</w:t>
      </w:r>
    </w:p>
    <w:p w:rsidR="00B3293A" w:rsidRPr="004E41F2" w:rsidRDefault="00B3293A">
      <w:pPr>
        <w:pStyle w:val="seminrio1"/>
        <w:spacing w:after="737"/>
        <w:rPr>
          <w:rFonts w:ascii="Arial" w:hAnsi="Arial" w:cs="Arial"/>
        </w:rPr>
      </w:pPr>
      <w:r w:rsidRPr="004E41F2">
        <w:rPr>
          <w:rFonts w:ascii="Arial" w:hAnsi="Arial" w:cs="Arial"/>
        </w:rPr>
        <w:t>IMUNIDADE E NORMAS GERAIS DE DIREITO TRIBUTÁRIO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Que é imunidade tributária? Diferençar imunidade, isenção, não-incidência e incidência tributária. O conceito de imunidade tr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butária pode ser aplicável às taxas e às contribuições de melhoria?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As imunidades são cláusulas pétreas na Constituição Federal? Uma Emenda Constitucional pode revogar alguma das imunidades di</w:t>
      </w:r>
      <w:r w:rsidRPr="004E41F2">
        <w:rPr>
          <w:rFonts w:ascii="Arial" w:hAnsi="Arial" w:cs="Arial"/>
        </w:rPr>
        <w:t>s</w:t>
      </w:r>
      <w:r w:rsidRPr="004E41F2">
        <w:rPr>
          <w:rFonts w:ascii="Arial" w:hAnsi="Arial" w:cs="Arial"/>
        </w:rPr>
        <w:t>postas na Carta Magna? As normas constitucionais que veiculam imunidades são autoaplicáveis ou dependem de regulamentação i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fraconstitucional?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Na sua opinião, são imunes: (a) quanto ao ISS: os serviços de guarda e estacionamento de veículos automotores prestados por entidades religiosas (vide anexos I e II); (b) quanto ao IPTU: o imóvel destinado à locação, pertencente à mesma entidade (vide anexo III); e os c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mitérios particulares (vide anexo IV); (c) quanto ao ITR: as áreas de reserva indígena (vide STF, Petição n. 3388, DJ 04/02/2014); (d) os serviços prestados por empresas públicas, p. ex.: Correios, Infraero e Casa da Moeda (vide anexos V, VI e VII) e (e) as sociedades de economia mista prestadoras de serviço público (vide anexo VIII). Justifique sua resposta.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4.</w:t>
      </w:r>
      <w:r w:rsidRPr="004E41F2">
        <w:rPr>
          <w:rFonts w:ascii="Arial" w:hAnsi="Arial" w:cs="Arial"/>
        </w:rPr>
        <w:tab/>
        <w:t>Como deve ser interpretado o disposto no art. 150, VI, “d” da CF: “livro, jornais e periódicos e o papel destinado a sua impressão”. Pode-se dizer que livros e periódicos eletrônicos, bem como o m</w:t>
      </w:r>
      <w:r w:rsidRPr="004E41F2">
        <w:rPr>
          <w:rFonts w:ascii="Arial" w:hAnsi="Arial" w:cs="Arial"/>
        </w:rPr>
        <w:t>a</w:t>
      </w:r>
      <w:r w:rsidRPr="004E41F2">
        <w:rPr>
          <w:rFonts w:ascii="Arial" w:hAnsi="Arial" w:cs="Arial"/>
        </w:rPr>
        <w:t xml:space="preserve">terial utilizado para sua produção são imunes com fundamento neste </w:t>
      </w:r>
      <w:r w:rsidRPr="004E41F2">
        <w:rPr>
          <w:rFonts w:ascii="Arial" w:hAnsi="Arial" w:cs="Arial"/>
        </w:rPr>
        <w:lastRenderedPageBreak/>
        <w:t>dispositivo? (Vide anexos IX, X e XI). E quanto aos insumos e equipamentos utilizados na produção de livros e periódicos impre</w:t>
      </w:r>
      <w:r w:rsidRPr="004E41F2">
        <w:rPr>
          <w:rFonts w:ascii="Arial" w:hAnsi="Arial" w:cs="Arial"/>
        </w:rPr>
        <w:t>s</w:t>
      </w:r>
      <w:r w:rsidRPr="004E41F2">
        <w:rPr>
          <w:rFonts w:ascii="Arial" w:hAnsi="Arial" w:cs="Arial"/>
        </w:rPr>
        <w:t>sos em papel?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5.</w:t>
      </w:r>
      <w:r w:rsidRPr="004E41F2">
        <w:rPr>
          <w:rFonts w:ascii="Arial" w:hAnsi="Arial" w:cs="Arial"/>
        </w:rPr>
        <w:tab/>
        <w:t>No caso da imunidade para as instituições de assistência social sem fins lucrativos, o cumprimento do art. 14 do CTN é suficiente para garantir sua aplicação ou ainda é necessária a comprovação do c</w:t>
      </w:r>
      <w:r w:rsidRPr="004E41F2">
        <w:rPr>
          <w:rFonts w:ascii="Arial" w:hAnsi="Arial" w:cs="Arial"/>
        </w:rPr>
        <w:t>a</w:t>
      </w:r>
      <w:r w:rsidRPr="004E41F2">
        <w:rPr>
          <w:rFonts w:ascii="Arial" w:hAnsi="Arial" w:cs="Arial"/>
        </w:rPr>
        <w:t>ráter assistencial e filantrópico previsto no art. 203 da CF/88? É possível que lei ordinária garanta sua aplicação? (Vide anexo XII).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 xml:space="preserve">Explicar as diferenças entre as correntes dicotômica e tricotômica na aplicação das normas gerais de direito tributário. Precisar o sentido da expressão “normas </w:t>
      </w:r>
      <w:r w:rsidRPr="004E41F2">
        <w:rPr>
          <w:rFonts w:ascii="Arial" w:hAnsi="Arial" w:cs="Arial"/>
          <w:i/>
          <w:iCs/>
        </w:rPr>
        <w:t>gerais</w:t>
      </w:r>
      <w:r w:rsidRPr="004E41F2">
        <w:rPr>
          <w:rFonts w:ascii="Arial" w:hAnsi="Arial" w:cs="Arial"/>
        </w:rPr>
        <w:t xml:space="preserve"> de direito tributário”, diferenciando lei complementar nacional e lei complementar federal.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7.</w:t>
      </w:r>
      <w:r w:rsidRPr="004E41F2">
        <w:rPr>
          <w:rFonts w:ascii="Arial" w:hAnsi="Arial" w:cs="Arial"/>
        </w:rPr>
        <w:tab/>
        <w:t>O art. 146, inciso III, da CF, autoriza a lei complementar a definir os fatos geradores, bases de cálculo e contribuintes dos impostos já discriminados na Constituição? Isso não violaria o princípio da a</w:t>
      </w:r>
      <w:r w:rsidRPr="004E41F2">
        <w:rPr>
          <w:rFonts w:ascii="Arial" w:hAnsi="Arial" w:cs="Arial"/>
        </w:rPr>
        <w:t>u</w:t>
      </w:r>
      <w:r w:rsidRPr="004E41F2">
        <w:rPr>
          <w:rFonts w:ascii="Arial" w:hAnsi="Arial" w:cs="Arial"/>
        </w:rPr>
        <w:t>tonomia das pessoas políticas?</w:t>
      </w:r>
    </w:p>
    <w:p w:rsidR="00B3293A" w:rsidRPr="004E41F2" w:rsidRDefault="00325476">
      <w:pPr>
        <w:pStyle w:val="texto"/>
        <w:ind w:firstLine="0"/>
        <w:rPr>
          <w:rFonts w:ascii="Arial" w:hAnsi="Arial" w:cs="Arial"/>
        </w:rPr>
      </w:pPr>
      <w:r w:rsidRPr="004E41F2">
        <w:rPr>
          <w:rFonts w:ascii="Arial" w:hAnsi="Arial" w:cs="Arial"/>
        </w:rPr>
        <w:br w:type="page"/>
      </w:r>
    </w:p>
    <w:p w:rsidR="00B3293A" w:rsidRPr="004E41F2" w:rsidRDefault="00B3293A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V</w:t>
      </w:r>
    </w:p>
    <w:p w:rsidR="00B3293A" w:rsidRPr="004E41F2" w:rsidRDefault="00B3293A">
      <w:pPr>
        <w:pStyle w:val="seminrio1"/>
        <w:rPr>
          <w:rFonts w:ascii="Arial" w:hAnsi="Arial" w:cs="Arial"/>
        </w:rPr>
      </w:pPr>
      <w:r w:rsidRPr="004E41F2">
        <w:rPr>
          <w:rFonts w:ascii="Arial" w:hAnsi="Arial" w:cs="Arial"/>
        </w:rPr>
        <w:t>TRIBUTAÇÃO INTERNACIONAL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Construa a RMIT dos Impostos de Importação e de Exportação. Qual o conceito de produto para fins de incidência destes tributos?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A “lei” que impõe limites e condições à faculdade de Poder Executivo alterar as alíquotas do Imposto de Importação e do Imposto de E</w:t>
      </w:r>
      <w:r w:rsidRPr="004E41F2">
        <w:rPr>
          <w:rFonts w:ascii="Arial" w:hAnsi="Arial" w:cs="Arial"/>
        </w:rPr>
        <w:t>x</w:t>
      </w:r>
      <w:r w:rsidRPr="004E41F2">
        <w:rPr>
          <w:rFonts w:ascii="Arial" w:hAnsi="Arial" w:cs="Arial"/>
        </w:rPr>
        <w:t>portação (art. 153, § 1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>, da CF/88) deverá ser lei complementar ou lei ordinária? A exceção prevista no § 1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 xml:space="preserve"> do art. 150 da CF/88 dirige-se também à esta “lei” ou restringe-se aos atos do Poder Executivo acobertados pelos seus “limites e condições”? (Vide anexo 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Pode a União, ao exercer sua competência tributária com relação ao imposto sobre exportações, atribuir alíquotas diferenciadas em razão do país de destino do bem? Justificar.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4.</w:t>
      </w:r>
      <w:r w:rsidRPr="004E41F2">
        <w:rPr>
          <w:rFonts w:ascii="Arial" w:hAnsi="Arial" w:cs="Arial"/>
        </w:rPr>
        <w:tab/>
        <w:t>A empresa “X” firmou contrato de fornecimento, formalizando a aquisição de bem do exterior, datado de 10/05/2010. Os produtos transpuseram a fronteira brasileira, por via marítima em 15/06/2010, chegaram ao porto de Santos em 18/06/2010, em 25/06/2010 a empresa registrou a operação junto ao SISCOMEX e os produtos foram desembaraçados em 02/07/2010. No momento da realização do contrato a alíquota do referido imposto era de 10%. No entanto, em 01/06/2010 o Governo Federal publicou decreto que aumentou a alíquota aplicável à importação do referido bem para 20%, em 16/06/2010 houve outro aumento de alíquota para 30%, em 22/06/2010 para 35% e em 01/07/2010 para 38%. Pergunta-se: qual é a alíquota aplicável à importação em análise? (Vide anexo 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lastRenderedPageBreak/>
        <w:t>5.</w:t>
      </w:r>
      <w:r w:rsidRPr="004E41F2">
        <w:rPr>
          <w:rFonts w:ascii="Arial" w:hAnsi="Arial" w:cs="Arial"/>
        </w:rPr>
        <w:tab/>
        <w:t>Defina o conceito de “tratado internacional”, descrevendo como se dá seu ingresso no ordenamento jurídico, seu momento de vigência no direito interno e sua posição hierárquica no sistema jurídico. Cons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dere, em sua resposta, o §2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 xml:space="preserve"> do artigo 5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 xml:space="preserve"> da Constituição e o artigo 98 do Código Tributário Nacional, e o entendimento exposto pelo STF. (Vide anexo III).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>Pode a União visando regular a política tarifária, versar sobre a isenção de tributo de competência estadual? Os tratados podem revogar normas tributárias inseridas no ordenamento jurídico bras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leiro pelos Estados e Municípios? Como ficam o princípio federativo e o da autonomia dos Municípios consagrados na CF/88? (Vide anexos IV e V).</w:t>
      </w:r>
    </w:p>
    <w:p w:rsidR="00E75E0B" w:rsidRDefault="00E75E0B">
      <w:pPr>
        <w:pStyle w:val="1"/>
        <w:rPr>
          <w:rFonts w:ascii="Arial" w:hAnsi="Arial" w:cs="Arial"/>
          <w:w w:val="100"/>
        </w:rPr>
      </w:pPr>
    </w:p>
    <w:p w:rsidR="00B3293A" w:rsidRPr="004E41F2" w:rsidRDefault="00325476">
      <w:pPr>
        <w:pStyle w:val="texto"/>
        <w:ind w:firstLine="0"/>
        <w:rPr>
          <w:rFonts w:ascii="Arial" w:hAnsi="Arial" w:cs="Arial"/>
        </w:rPr>
      </w:pPr>
      <w:r w:rsidRPr="004E41F2">
        <w:rPr>
          <w:rFonts w:ascii="Arial" w:hAnsi="Arial" w:cs="Arial"/>
        </w:rPr>
        <w:br w:type="page"/>
      </w:r>
    </w:p>
    <w:p w:rsidR="00B3293A" w:rsidRPr="004E41F2" w:rsidRDefault="00B3293A">
      <w:pPr>
        <w:pStyle w:val="Semestilodepargrafo"/>
        <w:tabs>
          <w:tab w:val="right" w:leader="dot" w:pos="5954"/>
        </w:tabs>
        <w:spacing w:after="113"/>
        <w:jc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VI</w:t>
      </w:r>
    </w:p>
    <w:p w:rsidR="00B3293A" w:rsidRPr="004E41F2" w:rsidRDefault="00B3293A">
      <w:pPr>
        <w:pStyle w:val="seminrio1"/>
        <w:rPr>
          <w:rFonts w:ascii="Arial" w:hAnsi="Arial" w:cs="Arial"/>
        </w:rPr>
      </w:pPr>
      <w:r w:rsidRPr="004E41F2">
        <w:rPr>
          <w:rFonts w:ascii="Arial" w:hAnsi="Arial" w:cs="Arial"/>
        </w:rPr>
        <w:t>IPTU, ITR E IPVA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Construa as regras-matrizes de incidência do IPTU, ITR e IPVA.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Diferençar os conceitos de propriedade, domínio útil e posse do art. 1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 xml:space="preserve"> da Lei n. 9.393/96, correlacionando-os com o de propriedade do art. 153, VI da CF. Há competência da União para instituir como critério material do ITR o domínio útil e a posse?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A quem compete definir as zonas urbana e rural? Qual o veículo legislativo adequado para tanto? Os imóveis industriais, comerciais e prestadores de serviços situados fora dos núcleos urbanos munic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pais estão sujeitos à incidência do IPTU? (Vide anexo I). E os de exploração vegetal, agrícola, pecuária ou agroindustrial, quando s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tuados dentro dos núcleos urbanos municipais? (Vide anexos II, III e IV).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  <w:bCs/>
        </w:rPr>
        <w:t>4.</w:t>
      </w:r>
      <w:r w:rsidRPr="004E41F2">
        <w:rPr>
          <w:rFonts w:ascii="Arial" w:hAnsi="Arial" w:cs="Arial"/>
          <w:bCs/>
        </w:rPr>
        <w:tab/>
      </w:r>
      <w:r w:rsidRPr="004E41F2">
        <w:rPr>
          <w:rFonts w:ascii="Arial" w:hAnsi="Arial" w:cs="Arial"/>
        </w:rPr>
        <w:t>A modificação da planta genérica, que determina a base de cálculo do IPTU, deve ser veiculada por lei, ou pode ser por meio de decreto? Há necessidade de publicação no diário oficial? (Vide anexo V).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5.</w:t>
      </w:r>
      <w:r w:rsidRPr="004E41F2">
        <w:rPr>
          <w:rFonts w:ascii="Arial" w:hAnsi="Arial" w:cs="Arial"/>
        </w:rPr>
        <w:tab/>
        <w:t>Quanto ao ITR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O art. 11 da Lei n. 9.393/96 fixou as alíquotas do ITR em perce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tuais que variam de 0,03% a 20%, conforme a área total do imóvel e o grau de utilização. No seu entender, referida progressividade atende ao disposto no art. 153, § 4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>, da Constituição Federal? Justificar.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 xml:space="preserve">b) A que tipo de lançamento está sujeito o ITR? A exclusão de área de preservação permanente da base de cálculo do ITR pressupõe o protocolo de Ato Declaratório Ambiental (ADA) do IBAMA? (Vide </w:t>
      </w:r>
      <w:r w:rsidRPr="004E41F2">
        <w:rPr>
          <w:rFonts w:ascii="Arial" w:hAnsi="Arial" w:cs="Arial"/>
        </w:rPr>
        <w:lastRenderedPageBreak/>
        <w:t>anexos VI e VII).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>Com relação ao IPVA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Que é “veículo automotor”? Embarcações e aeronaves enqu</w:t>
      </w:r>
      <w:r w:rsidRPr="004E41F2">
        <w:rPr>
          <w:rFonts w:ascii="Arial" w:hAnsi="Arial" w:cs="Arial"/>
        </w:rPr>
        <w:t>a</w:t>
      </w:r>
      <w:r w:rsidRPr="004E41F2">
        <w:rPr>
          <w:rFonts w:ascii="Arial" w:hAnsi="Arial" w:cs="Arial"/>
        </w:rPr>
        <w:t>dram-se no conceito de “veículo automotor”, sujeitando-se à inc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dência do IPVA?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Qual é o sujeito passivo do imposto no caso de alienação fiduci</w:t>
      </w:r>
      <w:r w:rsidRPr="004E41F2">
        <w:rPr>
          <w:rFonts w:ascii="Arial" w:hAnsi="Arial" w:cs="Arial"/>
        </w:rPr>
        <w:t>á</w:t>
      </w:r>
      <w:r w:rsidRPr="004E41F2">
        <w:rPr>
          <w:rFonts w:ascii="Arial" w:hAnsi="Arial" w:cs="Arial"/>
        </w:rPr>
        <w:t>ria?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c) Qual é o sujeito ativo tributário no caso de veículo adquirido em um Estado e utilizado em outro? Pode o Estado de uso do veículo cobrar o tributo (ex: caso das locadoras de automóveis)? (Vide anexo VIII).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d) Sendo o veículo automotor adquirido no decorrer do ano civil, dá-se a incidência do IPVA sobre a sua propriedade? É adequado, nesse caso, falar-se em base de cálculo parcial do IPVA? Exempl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ficando: sobre o veículo novo adquirido em 01 novembro de 2012 pode ser cobrado IPVA proporcional aos meses de novembro e d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>zembro? Se o veículo for furtado no decorrer do ano, tem o contr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buinte direito à devolução parcial do imposto pago?</w:t>
      </w:r>
    </w:p>
    <w:p w:rsidR="00B3293A" w:rsidRPr="004E41F2" w:rsidRDefault="00F6680B">
      <w:pPr>
        <w:pStyle w:val="texto"/>
        <w:ind w:firstLine="0"/>
        <w:rPr>
          <w:rFonts w:ascii="Arial" w:hAnsi="Arial" w:cs="Arial"/>
        </w:rPr>
      </w:pPr>
      <w:r w:rsidRPr="004E41F2">
        <w:rPr>
          <w:rFonts w:ascii="Arial" w:hAnsi="Arial" w:cs="Arial"/>
        </w:rPr>
        <w:br w:type="page"/>
      </w:r>
    </w:p>
    <w:p w:rsidR="00B3293A" w:rsidRPr="004E41F2" w:rsidRDefault="00B3293A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4E41F2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4E41F2">
        <w:rPr>
          <w:rFonts w:ascii="Arial" w:hAnsi="Arial" w:cs="Arial"/>
          <w:b/>
          <w:bCs/>
          <w:sz w:val="48"/>
          <w:szCs w:val="48"/>
        </w:rPr>
        <w:t>VII</w:t>
      </w:r>
    </w:p>
    <w:p w:rsidR="00B3293A" w:rsidRPr="004E41F2" w:rsidRDefault="00B3293A">
      <w:pPr>
        <w:pStyle w:val="seminrio1"/>
        <w:rPr>
          <w:rFonts w:ascii="Arial" w:hAnsi="Arial" w:cs="Arial"/>
        </w:rPr>
      </w:pPr>
      <w:r w:rsidRPr="004E41F2">
        <w:rPr>
          <w:rFonts w:ascii="Arial" w:hAnsi="Arial" w:cs="Arial"/>
        </w:rPr>
        <w:t>CONTRIBUIÇÕES</w:t>
      </w:r>
    </w:p>
    <w:p w:rsidR="00B3293A" w:rsidRPr="004E41F2" w:rsidRDefault="00B3293A">
      <w:pPr>
        <w:pStyle w:val="1"/>
        <w:rPr>
          <w:rFonts w:ascii="Arial" w:hAnsi="Arial" w:cs="Arial"/>
          <w:w w:val="100"/>
        </w:rPr>
      </w:pPr>
      <w:r w:rsidRPr="004E41F2">
        <w:rPr>
          <w:rFonts w:ascii="Arial" w:hAnsi="Arial" w:cs="Arial"/>
          <w:w w:val="100"/>
        </w:rPr>
        <w:t>Questões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1.</w:t>
      </w:r>
      <w:r w:rsidRPr="004E41F2">
        <w:rPr>
          <w:rFonts w:ascii="Arial" w:hAnsi="Arial" w:cs="Arial"/>
        </w:rPr>
        <w:tab/>
        <w:t>Definir o conceito de “contribuição”. Quais as espécies de contr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buição existentes na CF/88? Que critério jurídico informa esta cla</w:t>
      </w:r>
      <w:r w:rsidRPr="004E41F2">
        <w:rPr>
          <w:rFonts w:ascii="Arial" w:hAnsi="Arial" w:cs="Arial"/>
        </w:rPr>
        <w:t>s</w:t>
      </w:r>
      <w:r w:rsidRPr="004E41F2">
        <w:rPr>
          <w:rFonts w:ascii="Arial" w:hAnsi="Arial" w:cs="Arial"/>
        </w:rPr>
        <w:t>sificação normativa?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2.</w:t>
      </w:r>
      <w:r w:rsidRPr="004E41F2">
        <w:rPr>
          <w:rFonts w:ascii="Arial" w:hAnsi="Arial" w:cs="Arial"/>
        </w:rPr>
        <w:tab/>
        <w:t>Sobre a hipótese de incidência das contribuições,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A União pode, na criação de contribuição com fundamento no art. 149 da CF, utilizar uma das materialidades que lhe foram atribuídas constitucionalmente para a instituição de impostos?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A hipótese de incidência destas contribuições pode abranger fatos que, por ocasião da repartição constitucional de competências para a instituição de impostos, foram atribuídos como materialidades pr</w:t>
      </w:r>
      <w:r w:rsidRPr="004E41F2">
        <w:rPr>
          <w:rFonts w:ascii="Arial" w:hAnsi="Arial" w:cs="Arial"/>
        </w:rPr>
        <w:t>ó</w:t>
      </w:r>
      <w:r w:rsidRPr="004E41F2">
        <w:rPr>
          <w:rFonts w:ascii="Arial" w:hAnsi="Arial" w:cs="Arial"/>
        </w:rPr>
        <w:t>prias dos Estados, Distrito Federal e Municípios?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3.</w:t>
      </w:r>
      <w:r w:rsidRPr="004E41F2">
        <w:rPr>
          <w:rFonts w:ascii="Arial" w:hAnsi="Arial" w:cs="Arial"/>
        </w:rPr>
        <w:tab/>
        <w:t>A destinação do produto da arrecadação tributária é relevante para a classificação jurídica dos tributos e consequente definição das co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tribuições? E a efetiva destinação da receita arrecadada a título de contribuição é relevante para se caracterizar a legitimidade da c</w:t>
      </w:r>
      <w:r w:rsidRPr="004E41F2">
        <w:rPr>
          <w:rFonts w:ascii="Arial" w:hAnsi="Arial" w:cs="Arial"/>
        </w:rPr>
        <w:t>o</w:t>
      </w:r>
      <w:r w:rsidRPr="004E41F2">
        <w:rPr>
          <w:rFonts w:ascii="Arial" w:hAnsi="Arial" w:cs="Arial"/>
        </w:rPr>
        <w:t>brança? Se os valores arrecadados a título de contribuição não forem aplicados na destinação prescrita na lei, pode o contribuinte requerer restituição do tributo pago? Sob qual fundamento? Justificar.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4.</w:t>
      </w:r>
      <w:r w:rsidRPr="004E41F2">
        <w:rPr>
          <w:rFonts w:ascii="Arial" w:hAnsi="Arial" w:cs="Arial"/>
        </w:rPr>
        <w:tab/>
        <w:t>Por força do que prescreve o art. 195, I, “a”, da Constituição da R</w:t>
      </w:r>
      <w:r w:rsidRPr="004E41F2">
        <w:rPr>
          <w:rFonts w:ascii="Arial" w:hAnsi="Arial" w:cs="Arial"/>
        </w:rPr>
        <w:t>e</w:t>
      </w:r>
      <w:r w:rsidRPr="004E41F2">
        <w:rPr>
          <w:rFonts w:ascii="Arial" w:hAnsi="Arial" w:cs="Arial"/>
        </w:rPr>
        <w:t xml:space="preserve">pública, a legislação exige que o empregador recolha contribuição sobre a folha de salários e demais rendimentos do trabalho pagos ou creditados, a qualquer título, à pessoa física que lhe preste serviço. </w:t>
      </w:r>
      <w:r w:rsidRPr="004E41F2">
        <w:rPr>
          <w:rFonts w:ascii="Arial" w:hAnsi="Arial" w:cs="Arial"/>
        </w:rPr>
        <w:lastRenderedPageBreak/>
        <w:t>Neste contexto,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O que é “salário”? E “rendimentos do trabalho”?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Levando em consideração a resposta, quais das parcelas abaixo estão ou não sujeitas à incidência deste tributo, justifique: (i) os se</w:t>
      </w:r>
      <w:r w:rsidRPr="004E41F2">
        <w:rPr>
          <w:rFonts w:ascii="Arial" w:hAnsi="Arial" w:cs="Arial"/>
        </w:rPr>
        <w:t>r</w:t>
      </w:r>
      <w:r w:rsidRPr="004E41F2">
        <w:rPr>
          <w:rFonts w:ascii="Arial" w:hAnsi="Arial" w:cs="Arial"/>
        </w:rPr>
        <w:t>viços extraordinários (horas extras); (ii) terço constitucional; (iii) férias indenizadas; (iv) aviso prévio indenizado; (v) adicional de insalubr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dade; (vi) adicional de periculosidade; (vii) adicional noturno; (viii) auxílio-educação; (ix) auxílio-creche; (x) auxílio-doença; (xi) salário maternidade; (xii) prêmio assiduidade; (xiii) vale transporte e (xiv) descanso remunerado. (Vide anexo 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5.</w:t>
      </w:r>
      <w:r w:rsidRPr="004E41F2">
        <w:rPr>
          <w:rFonts w:ascii="Arial" w:hAnsi="Arial" w:cs="Arial"/>
        </w:rPr>
        <w:tab/>
        <w:t>Sobre as contribuições ao PIS-COFINS no regime não-cumulativo: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Examinar o conceito de receita delimitado pela Lei n. 12.973/14. As alterações veiculadas acarretam consequências para fins da i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cidência do PIS e da COFINS? Em caso afirmativo, quais?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O que caracteriza “insumo” para fins da não-cumulatividade do PIS e da COFINS? (Vide anexos II a VI).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6.</w:t>
      </w:r>
      <w:r w:rsidRPr="004E41F2">
        <w:rPr>
          <w:rFonts w:ascii="Arial" w:hAnsi="Arial" w:cs="Arial"/>
        </w:rPr>
        <w:tab/>
        <w:t>A Lei Federal n. 10.865/2004 instituiu a Contribuição para os Pr</w:t>
      </w:r>
      <w:r w:rsidRPr="004E41F2">
        <w:rPr>
          <w:rFonts w:ascii="Arial" w:hAnsi="Arial" w:cs="Arial"/>
        </w:rPr>
        <w:t>o</w:t>
      </w:r>
      <w:r w:rsidRPr="004E41F2">
        <w:rPr>
          <w:rFonts w:ascii="Arial" w:hAnsi="Arial" w:cs="Arial"/>
        </w:rPr>
        <w:t>gramas de Integração Social e de Formação do Patrimônio do Se</w:t>
      </w:r>
      <w:r w:rsidRPr="004E41F2">
        <w:rPr>
          <w:rFonts w:ascii="Arial" w:hAnsi="Arial" w:cs="Arial"/>
        </w:rPr>
        <w:t>r</w:t>
      </w:r>
      <w:r w:rsidRPr="004E41F2">
        <w:rPr>
          <w:rFonts w:ascii="Arial" w:hAnsi="Arial" w:cs="Arial"/>
        </w:rPr>
        <w:t>vidor Público incidente na importação de produtos estrangeiros ou serviços (PIS/PASEP-Importação) e a Contribuição Social para o Financiamento da Seguridade Social devida pelo importador de bens estrangeiros ou serviços do exterior (COFINS-Importação). Anal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sando criticamente o artigo 7</w:t>
      </w:r>
      <w:r w:rsidRPr="004E41F2">
        <w:rPr>
          <w:rFonts w:ascii="Arial" w:hAnsi="Arial" w:cs="Arial"/>
          <w:strike/>
        </w:rPr>
        <w:t>º</w:t>
      </w:r>
      <w:r w:rsidRPr="004E41F2">
        <w:rPr>
          <w:rFonts w:ascii="Arial" w:hAnsi="Arial" w:cs="Arial"/>
        </w:rPr>
        <w:t xml:space="preserve"> da referida lei, e os enunciados con</w:t>
      </w:r>
      <w:r w:rsidRPr="004E41F2">
        <w:rPr>
          <w:rFonts w:ascii="Arial" w:hAnsi="Arial" w:cs="Arial"/>
        </w:rPr>
        <w:t>s</w:t>
      </w:r>
      <w:r w:rsidRPr="004E41F2">
        <w:rPr>
          <w:rFonts w:ascii="Arial" w:hAnsi="Arial" w:cs="Arial"/>
        </w:rPr>
        <w:t>titucionais que atribuem competência para a União instituir contr</w:t>
      </w:r>
      <w:r w:rsidRPr="004E41F2">
        <w:rPr>
          <w:rFonts w:ascii="Arial" w:hAnsi="Arial" w:cs="Arial"/>
        </w:rPr>
        <w:t>i</w:t>
      </w:r>
      <w:r w:rsidRPr="004E41F2">
        <w:rPr>
          <w:rFonts w:ascii="Arial" w:hAnsi="Arial" w:cs="Arial"/>
        </w:rPr>
        <w:t>buições, bem como o conceito de valor aduaneiro do Decreto n. 6.743/2009, pergunta-se: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É possível identificar um conceito constitucional de valor adu</w:t>
      </w:r>
      <w:r w:rsidRPr="004E41F2">
        <w:rPr>
          <w:rFonts w:ascii="Arial" w:hAnsi="Arial" w:cs="Arial"/>
        </w:rPr>
        <w:t>a</w:t>
      </w:r>
      <w:r w:rsidRPr="004E41F2">
        <w:rPr>
          <w:rFonts w:ascii="Arial" w:hAnsi="Arial" w:cs="Arial"/>
        </w:rPr>
        <w:t>neiro? (Vide anexo VII).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O que compreende o valor aduaneiro para fins de quantificação do PIS-Importação e da COFINS-Importação?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lastRenderedPageBreak/>
        <w:tab/>
        <w:t>c) É possível sustentar a inconstitucionalidade da base de cálculo do PIS-Importação e da COFINS-Importação constante da Lei Federal n. 10.865/2004, ou a sua ilegalidade, tendo em vista o que dispõe o art. 110 do CTN? (Vide anexos VIII e IX).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>7.</w:t>
      </w:r>
      <w:r w:rsidRPr="004E41F2">
        <w:rPr>
          <w:rFonts w:ascii="Arial" w:hAnsi="Arial" w:cs="Arial"/>
        </w:rPr>
        <w:tab/>
        <w:t>Sobre as contribuições de intervenção no domínio econômico, pe</w:t>
      </w:r>
      <w:r w:rsidRPr="004E41F2">
        <w:rPr>
          <w:rFonts w:ascii="Arial" w:hAnsi="Arial" w:cs="Arial"/>
        </w:rPr>
        <w:t>r</w:t>
      </w:r>
      <w:r w:rsidRPr="004E41F2">
        <w:rPr>
          <w:rFonts w:ascii="Arial" w:hAnsi="Arial" w:cs="Arial"/>
        </w:rPr>
        <w:t>gunta-se: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a) Que se entende por intervenção no domínio econômico? As causas de intervenção estão restritas aos artigos 170 a 181 da Constituição Federal?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b) O produto da arrecadação da CIDE deve ser legalmente destinado à intervenção no setor econômico de que trata a contribuição (i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tervenção positiva), ou pode ser instituída com finalidade de dese</w:t>
      </w:r>
      <w:r w:rsidRPr="004E41F2">
        <w:rPr>
          <w:rFonts w:ascii="Arial" w:hAnsi="Arial" w:cs="Arial"/>
        </w:rPr>
        <w:t>s</w:t>
      </w:r>
      <w:r w:rsidRPr="004E41F2">
        <w:rPr>
          <w:rFonts w:ascii="Arial" w:hAnsi="Arial" w:cs="Arial"/>
        </w:rPr>
        <w:t>timular determinada atividade, ou seja, com caráter extrafiscal (i</w:t>
      </w:r>
      <w:r w:rsidRPr="004E41F2">
        <w:rPr>
          <w:rFonts w:ascii="Arial" w:hAnsi="Arial" w:cs="Arial"/>
        </w:rPr>
        <w:t>n</w:t>
      </w:r>
      <w:r w:rsidRPr="004E41F2">
        <w:rPr>
          <w:rFonts w:ascii="Arial" w:hAnsi="Arial" w:cs="Arial"/>
        </w:rPr>
        <w:t>tervenção negativa)?</w:t>
      </w:r>
    </w:p>
    <w:p w:rsidR="00B3293A" w:rsidRPr="004E41F2" w:rsidRDefault="00B3293A">
      <w:pPr>
        <w:pStyle w:val="10"/>
        <w:rPr>
          <w:rFonts w:ascii="Arial" w:hAnsi="Arial" w:cs="Arial"/>
        </w:rPr>
      </w:pPr>
      <w:r w:rsidRPr="004E41F2">
        <w:rPr>
          <w:rFonts w:ascii="Arial" w:hAnsi="Arial" w:cs="Arial"/>
        </w:rPr>
        <w:tab/>
        <w:t>c) A sua materialidade e o sujeito passivo devem estar relacionados com a destinação escolhida pelo legislador como forma de inte</w:t>
      </w:r>
      <w:r w:rsidRPr="004E41F2">
        <w:rPr>
          <w:rFonts w:ascii="Arial" w:hAnsi="Arial" w:cs="Arial"/>
        </w:rPr>
        <w:t>r</w:t>
      </w:r>
      <w:r w:rsidRPr="004E41F2">
        <w:rPr>
          <w:rFonts w:ascii="Arial" w:hAnsi="Arial" w:cs="Arial"/>
        </w:rPr>
        <w:t>venção no domínio econômico? (Vide anexo X).</w:t>
      </w:r>
    </w:p>
    <w:sectPr w:rsidR="00B3293A" w:rsidRPr="004E41F2" w:rsidSect="00E51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8392" w:h="11907" w:code="11"/>
      <w:pgMar w:top="1247" w:right="567" w:bottom="851" w:left="851" w:header="454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E9" w:rsidRDefault="00AF0CE9">
      <w:pPr>
        <w:spacing w:after="0" w:line="240" w:lineRule="auto"/>
      </w:pPr>
      <w:r>
        <w:separator/>
      </w:r>
    </w:p>
  </w:endnote>
  <w:endnote w:type="continuationSeparator" w:id="0">
    <w:p w:rsidR="00AF0CE9" w:rsidRDefault="00AF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73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0" w:rsidRPr="009C7A8D" w:rsidRDefault="009C2950" w:rsidP="009C7A8D">
    <w:pPr>
      <w:pStyle w:val="Rodap"/>
      <w:ind w:right="360"/>
      <w:jc w:val="center"/>
      <w:rPr>
        <w:sz w:val="12"/>
      </w:rPr>
    </w:pPr>
    <w:r>
      <w:rPr>
        <w:sz w:val="12"/>
      </w:rPr>
      <w:t xml:space="preserve">O conteúdo desse material é de propriedade intelectual do </w:t>
    </w:r>
    <w:r>
      <w:rPr>
        <w:b/>
        <w:sz w:val="12"/>
      </w:rPr>
      <w:t>©IBET: é proibida sua utilização, manipulação ou reprodução, por pessoas estranhas e desvinculadas de suas atividades institucionais</w:t>
    </w:r>
    <w:r>
      <w:rPr>
        <w:sz w:val="12"/>
      </w:rPr>
      <w:t xml:space="preserve"> sem a devida, expressa e prévia autorização.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0" w:rsidRDefault="009C2950" w:rsidP="009C7A8D">
    <w:pPr>
      <w:pStyle w:val="Rodap"/>
      <w:ind w:right="360"/>
      <w:jc w:val="center"/>
      <w:rPr>
        <w:sz w:val="12"/>
      </w:rPr>
    </w:pPr>
    <w:r>
      <w:rPr>
        <w:sz w:val="12"/>
      </w:rPr>
      <w:t xml:space="preserve">O conteúdo desse material é de propriedade intelectual do </w:t>
    </w:r>
    <w:r>
      <w:rPr>
        <w:b/>
        <w:sz w:val="12"/>
      </w:rPr>
      <w:t>©IBET: é proibida sua utilização, manipulação ou reprodução, por pessoas estranhas e desvinculadas de suas atividades institucionais</w:t>
    </w:r>
    <w:r>
      <w:rPr>
        <w:sz w:val="12"/>
      </w:rPr>
      <w:t xml:space="preserve"> sem a devida, expressa e prévia autorização.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E9" w:rsidRDefault="00AF0CE9">
      <w:pPr>
        <w:spacing w:after="0" w:line="240" w:lineRule="auto"/>
      </w:pPr>
      <w:r>
        <w:separator/>
      </w:r>
    </w:p>
  </w:footnote>
  <w:footnote w:type="continuationSeparator" w:id="0">
    <w:p w:rsidR="00AF0CE9" w:rsidRDefault="00AF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0" w:rsidRPr="0011489F" w:rsidRDefault="009C2950" w:rsidP="004E41F2">
    <w:pPr>
      <w:pStyle w:val="Cabealho"/>
      <w:spacing w:after="0" w:line="240" w:lineRule="auto"/>
      <w:jc w:val="right"/>
      <w:rPr>
        <w:rFonts w:ascii="Times New Roman" w:hAnsi="Times New Roman"/>
      </w:rPr>
    </w:pPr>
    <w:r w:rsidRPr="0011489F">
      <w:rPr>
        <w:rFonts w:ascii="Times New Roman" w:hAnsi="Times New Roman"/>
      </w:rPr>
      <w:fldChar w:fldCharType="begin"/>
    </w:r>
    <w:r w:rsidRPr="0011489F">
      <w:rPr>
        <w:rFonts w:ascii="Times New Roman" w:hAnsi="Times New Roman"/>
      </w:rPr>
      <w:instrText>PAGE   \* MERGEFORMAT</w:instrText>
    </w:r>
    <w:r w:rsidRPr="0011489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11489F">
      <w:rPr>
        <w:rFonts w:ascii="Times New Roman" w:hAnsi="Times New Roman"/>
      </w:rPr>
      <w:fldChar w:fldCharType="end"/>
    </w:r>
  </w:p>
  <w:p w:rsidR="009C2950" w:rsidRPr="0011489F" w:rsidRDefault="009C2950" w:rsidP="004E41F2">
    <w:pPr>
      <w:pStyle w:val="Cabealho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1489F">
      <w:rPr>
        <w:rFonts w:ascii="Times New Roman" w:hAnsi="Times New Roman"/>
        <w:b/>
        <w:sz w:val="20"/>
        <w:szCs w:val="20"/>
      </w:rPr>
      <w:t>IBET</w:t>
    </w:r>
  </w:p>
  <w:p w:rsidR="009C2950" w:rsidRPr="009C7A8D" w:rsidRDefault="009C2950" w:rsidP="009C7A8D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11489F">
      <w:rPr>
        <w:rFonts w:ascii="Times New Roman" w:hAnsi="Times New Roman"/>
        <w:sz w:val="20"/>
        <w:szCs w:val="20"/>
      </w:rPr>
      <w:t>Instituto Brasileiro de Estudos Tributários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31128"/>
      <w:docPartObj>
        <w:docPartGallery w:val="Page Numbers (Top of Page)"/>
        <w:docPartUnique/>
      </w:docPartObj>
    </w:sdtPr>
    <w:sdtEndPr/>
    <w:sdtContent>
      <w:p w:rsidR="009C2950" w:rsidRDefault="009C295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184">
          <w:rPr>
            <w:noProof/>
          </w:rPr>
          <w:t>2</w:t>
        </w:r>
        <w:r>
          <w:fldChar w:fldCharType="end"/>
        </w:r>
      </w:p>
      <w:p w:rsidR="009C2950" w:rsidRPr="0011489F" w:rsidRDefault="009C2950" w:rsidP="009C2950">
        <w:pPr>
          <w:pStyle w:val="Cabealho"/>
          <w:spacing w:after="0" w:line="240" w:lineRule="auto"/>
          <w:jc w:val="center"/>
          <w:rPr>
            <w:rFonts w:ascii="Times New Roman" w:hAnsi="Times New Roman"/>
            <w:b/>
            <w:sz w:val="20"/>
            <w:szCs w:val="20"/>
          </w:rPr>
        </w:pPr>
        <w:r w:rsidRPr="0011489F">
          <w:rPr>
            <w:rFonts w:ascii="Times New Roman" w:hAnsi="Times New Roman"/>
            <w:b/>
            <w:sz w:val="20"/>
            <w:szCs w:val="20"/>
          </w:rPr>
          <w:t>IBET</w:t>
        </w:r>
      </w:p>
      <w:p w:rsidR="009C2950" w:rsidRPr="009C2950" w:rsidRDefault="009C2950" w:rsidP="009C2950">
        <w:pPr>
          <w:pStyle w:val="Cabealho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  <w:r w:rsidRPr="0011489F">
          <w:rPr>
            <w:rFonts w:ascii="Times New Roman" w:hAnsi="Times New Roman"/>
            <w:sz w:val="20"/>
            <w:szCs w:val="20"/>
          </w:rPr>
          <w:t>Instituto Brasileiro de Estudos Tributários</w:t>
        </w:r>
      </w:p>
    </w:sdtContent>
  </w:sdt>
  <w:p w:rsidR="009C2950" w:rsidRPr="0066309F" w:rsidRDefault="009C2950" w:rsidP="009C2950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0" w:rsidRDefault="009C2950">
    <w:pPr>
      <w:pStyle w:val="Cabealho"/>
    </w:pPr>
    <w:r>
      <w:rPr>
        <w:noProof/>
      </w:rPr>
      <w:drawing>
        <wp:inline distT="0" distB="0" distL="0" distR="0" wp14:anchorId="1A06B824" wp14:editId="0ED30AC8">
          <wp:extent cx="1828800" cy="11128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BET - 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974" cy="11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A9"/>
    <w:multiLevelType w:val="hybridMultilevel"/>
    <w:tmpl w:val="E7DA2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ABF"/>
    <w:multiLevelType w:val="hybridMultilevel"/>
    <w:tmpl w:val="D0CA9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62755"/>
    <w:multiLevelType w:val="hybridMultilevel"/>
    <w:tmpl w:val="403A5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A3405"/>
    <w:multiLevelType w:val="hybridMultilevel"/>
    <w:tmpl w:val="A8683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F4334"/>
    <w:multiLevelType w:val="hybridMultilevel"/>
    <w:tmpl w:val="3CD62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C22"/>
    <w:multiLevelType w:val="hybridMultilevel"/>
    <w:tmpl w:val="6DC80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26FC"/>
    <w:multiLevelType w:val="hybridMultilevel"/>
    <w:tmpl w:val="7AA8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5E7"/>
    <w:multiLevelType w:val="hybridMultilevel"/>
    <w:tmpl w:val="EE4C6F48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31F42924"/>
    <w:multiLevelType w:val="hybridMultilevel"/>
    <w:tmpl w:val="F0AA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41D66"/>
    <w:multiLevelType w:val="hybridMultilevel"/>
    <w:tmpl w:val="FCACD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A638A"/>
    <w:multiLevelType w:val="hybridMultilevel"/>
    <w:tmpl w:val="D51AC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52C63"/>
    <w:multiLevelType w:val="hybridMultilevel"/>
    <w:tmpl w:val="0F662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17CDE"/>
    <w:multiLevelType w:val="hybridMultilevel"/>
    <w:tmpl w:val="6DA6E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05D33"/>
    <w:multiLevelType w:val="hybridMultilevel"/>
    <w:tmpl w:val="50206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814E6"/>
    <w:multiLevelType w:val="hybridMultilevel"/>
    <w:tmpl w:val="D51E8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D7254"/>
    <w:multiLevelType w:val="hybridMultilevel"/>
    <w:tmpl w:val="A8B6B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52"/>
    <w:rsid w:val="00013C98"/>
    <w:rsid w:val="0004719D"/>
    <w:rsid w:val="00054184"/>
    <w:rsid w:val="00325476"/>
    <w:rsid w:val="003F26E3"/>
    <w:rsid w:val="004977D9"/>
    <w:rsid w:val="004E41F2"/>
    <w:rsid w:val="00601D69"/>
    <w:rsid w:val="006B62AF"/>
    <w:rsid w:val="007F5CEE"/>
    <w:rsid w:val="00856B08"/>
    <w:rsid w:val="00940D52"/>
    <w:rsid w:val="009951F9"/>
    <w:rsid w:val="009C2950"/>
    <w:rsid w:val="009C7A8D"/>
    <w:rsid w:val="00AF0CE9"/>
    <w:rsid w:val="00B07959"/>
    <w:rsid w:val="00B3293A"/>
    <w:rsid w:val="00BD57E7"/>
    <w:rsid w:val="00C17F4F"/>
    <w:rsid w:val="00CB5ABA"/>
    <w:rsid w:val="00E51A40"/>
    <w:rsid w:val="00E75E0B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tilodepargrafo">
    <w:name w:val="[Sem estilo de parág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1">
    <w:name w:val="1"/>
    <w:basedOn w:val="Semestilodepargrafo"/>
    <w:uiPriority w:val="99"/>
    <w:pPr>
      <w:tabs>
        <w:tab w:val="left" w:pos="340"/>
      </w:tabs>
      <w:suppressAutoHyphens/>
      <w:spacing w:before="340" w:after="170" w:line="280" w:lineRule="atLeast"/>
      <w:ind w:left="340" w:hanging="340"/>
    </w:pPr>
    <w:rPr>
      <w:rFonts w:ascii="Century731 BT" w:hAnsi="Century731 BT" w:cs="Century731 BT"/>
      <w:b/>
      <w:bCs/>
      <w:w w:val="90"/>
    </w:rPr>
  </w:style>
  <w:style w:type="paragraph" w:customStyle="1" w:styleId="BOLINHA">
    <w:name w:val="BOLINHA"/>
    <w:basedOn w:val="Semestilodepargrafo"/>
    <w:uiPriority w:val="99"/>
    <w:pPr>
      <w:tabs>
        <w:tab w:val="left" w:pos="198"/>
      </w:tabs>
      <w:spacing w:before="57" w:after="57" w:line="272" w:lineRule="atLeast"/>
      <w:ind w:left="198" w:hanging="198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10">
    <w:name w:val="1)"/>
    <w:basedOn w:val="Semestilodepargrafo"/>
    <w:uiPriority w:val="99"/>
    <w:pPr>
      <w:tabs>
        <w:tab w:val="left" w:pos="283"/>
      </w:tabs>
      <w:spacing w:before="68" w:after="68" w:line="276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titcorpomenor">
    <w:name w:val="tit corpo menor"/>
    <w:basedOn w:val="10"/>
    <w:uiPriority w:val="99"/>
    <w:pPr>
      <w:spacing w:before="283" w:after="170"/>
      <w:ind w:firstLine="0"/>
    </w:pPr>
    <w:rPr>
      <w:b/>
      <w:bCs/>
      <w:spacing w:val="-4"/>
      <w:w w:val="90"/>
      <w:sz w:val="20"/>
      <w:szCs w:val="20"/>
    </w:rPr>
  </w:style>
  <w:style w:type="paragraph" w:customStyle="1" w:styleId="corpomenor">
    <w:name w:val="corpo menor"/>
    <w:basedOn w:val="Semestilodepargrafo"/>
    <w:uiPriority w:val="99"/>
    <w:pPr>
      <w:spacing w:before="57" w:after="57" w:line="240" w:lineRule="atLeast"/>
      <w:ind w:left="283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anexo">
    <w:name w:val="anexo"/>
    <w:basedOn w:val="1"/>
    <w:next w:val="1"/>
    <w:uiPriority w:val="99"/>
    <w:pPr>
      <w:spacing w:before="0" w:after="57" w:line="300" w:lineRule="atLeast"/>
      <w:jc w:val="center"/>
    </w:pPr>
    <w:rPr>
      <w:caps/>
      <w:sz w:val="28"/>
      <w:szCs w:val="28"/>
    </w:rPr>
  </w:style>
  <w:style w:type="paragraph" w:customStyle="1" w:styleId="ANEXO0">
    <w:name w:val="ANEXO"/>
    <w:basedOn w:val="anexo"/>
    <w:next w:val="anexo"/>
    <w:uiPriority w:val="99"/>
    <w:pPr>
      <w:spacing w:before="340"/>
      <w:ind w:left="0" w:firstLine="0"/>
    </w:pPr>
    <w:rPr>
      <w:caps w:val="0"/>
    </w:rPr>
  </w:style>
  <w:style w:type="paragraph" w:customStyle="1" w:styleId="ANEXO1">
    <w:name w:val="ANEXO1"/>
    <w:basedOn w:val="1"/>
    <w:next w:val="1"/>
    <w:uiPriority w:val="99"/>
    <w:pPr>
      <w:spacing w:before="0" w:after="340"/>
      <w:ind w:left="0" w:firstLine="0"/>
      <w:jc w:val="center"/>
    </w:pPr>
  </w:style>
  <w:style w:type="paragraph" w:customStyle="1" w:styleId="DJ">
    <w:name w:val="DJ"/>
    <w:basedOn w:val="Semestilodepargrafo"/>
    <w:uiPriority w:val="99"/>
    <w:pPr>
      <w:spacing w:before="68" w:after="170" w:line="276" w:lineRule="atLeast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texto">
    <w:name w:val="texto"/>
    <w:basedOn w:val="Semestilodepargrafo"/>
    <w:uiPriority w:val="99"/>
    <w:pPr>
      <w:spacing w:before="68" w:after="68" w:line="276" w:lineRule="atLeast"/>
      <w:ind w:firstLine="567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seminrio1">
    <w:name w:val="seminário1"/>
    <w:basedOn w:val="Semestilodepargrafo"/>
    <w:uiPriority w:val="99"/>
    <w:pPr>
      <w:tabs>
        <w:tab w:val="right" w:leader="dot" w:pos="5954"/>
      </w:tabs>
      <w:spacing w:after="794" w:line="358" w:lineRule="atLeast"/>
      <w:jc w:val="center"/>
    </w:pPr>
    <w:rPr>
      <w:rFonts w:ascii="Garamond" w:hAnsi="Garamond" w:cs="Garamond"/>
      <w:b/>
      <w:bCs/>
      <w:sz w:val="32"/>
      <w:szCs w:val="32"/>
    </w:rPr>
  </w:style>
  <w:style w:type="paragraph" w:customStyle="1" w:styleId="abrerecuo">
    <w:name w:val="abre recu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fecharecuo">
    <w:name w:val="fecha recu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Pargrafobsico">
    <w:name w:val="[Parágrafo básico]"/>
    <w:basedOn w:val="Semestilodepargrafo"/>
    <w:uiPriority w:val="99"/>
  </w:style>
  <w:style w:type="paragraph" w:customStyle="1" w:styleId="recuo">
    <w:name w:val="recuo"/>
    <w:basedOn w:val="Pargrafobsico"/>
    <w:uiPriority w:val="99"/>
    <w:pPr>
      <w:spacing w:before="22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recuoredondo">
    <w:name w:val="recuo redondo"/>
    <w:basedOn w:val="recuo"/>
    <w:uiPriority w:val="99"/>
  </w:style>
  <w:style w:type="paragraph" w:customStyle="1" w:styleId="EMENTA">
    <w:name w:val="EMENTA"/>
    <w:basedOn w:val="1"/>
    <w:next w:val="1"/>
    <w:uiPriority w:val="99"/>
    <w:pPr>
      <w:spacing w:line="272" w:lineRule="atLeast"/>
      <w:ind w:left="0" w:firstLine="0"/>
      <w:jc w:val="center"/>
    </w:pPr>
    <w:rPr>
      <w:caps/>
      <w:w w:val="100"/>
    </w:rPr>
  </w:style>
  <w:style w:type="paragraph" w:customStyle="1" w:styleId="TEXTO0">
    <w:name w:val="TEXTO"/>
    <w:basedOn w:val="Semestilodepargrafo"/>
    <w:uiPriority w:val="99"/>
    <w:pPr>
      <w:spacing w:before="57" w:after="57" w:line="280" w:lineRule="atLeast"/>
      <w:ind w:firstLine="510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abrerecuoredondo">
    <w:name w:val="abre recuo redond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meiorecuoredondo">
    <w:name w:val="meio recuo redondo"/>
    <w:basedOn w:val="Semestilodepargrafo"/>
    <w:uiPriority w:val="99"/>
    <w:pPr>
      <w:spacing w:before="57" w:after="57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fecharecuoredondo">
    <w:name w:val="fecha recuo redond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BIBLIO">
    <w:name w:val="BIBLIO"/>
    <w:basedOn w:val="TEXTO0"/>
    <w:uiPriority w:val="99"/>
    <w:pPr>
      <w:spacing w:before="68" w:after="68" w:line="276" w:lineRule="atLeast"/>
      <w:ind w:left="340" w:hanging="340"/>
    </w:pPr>
  </w:style>
  <w:style w:type="paragraph" w:styleId="Textodenotaderodap">
    <w:name w:val="footnote text"/>
    <w:basedOn w:val="Pargrafobsico"/>
    <w:link w:val="TextodenotaderodapChar"/>
    <w:uiPriority w:val="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paragraph" w:customStyle="1" w:styleId="roda">
    <w:name w:val="roda"/>
    <w:basedOn w:val="Textodenotaderodap"/>
    <w:uiPriority w:val="99"/>
    <w:pPr>
      <w:spacing w:before="28" w:after="28" w:line="220" w:lineRule="atLeast"/>
      <w:jc w:val="both"/>
    </w:pPr>
    <w:rPr>
      <w:rFonts w:ascii="Century731 BT" w:hAnsi="Century731 BT" w:cs="Century731 BT"/>
      <w:sz w:val="18"/>
      <w:szCs w:val="18"/>
    </w:rPr>
  </w:style>
  <w:style w:type="character" w:customStyle="1" w:styleId="pagtit">
    <w:name w:val="pag_tit"/>
    <w:uiPriority w:val="99"/>
    <w:rPr>
      <w:w w:val="100"/>
    </w:rPr>
  </w:style>
  <w:style w:type="paragraph" w:customStyle="1" w:styleId="anexo2">
    <w:name w:val="anexo..."/>
    <w:basedOn w:val="Semestilodepargrafo"/>
    <w:uiPriority w:val="99"/>
    <w:rsid w:val="00940D52"/>
    <w:pPr>
      <w:tabs>
        <w:tab w:val="decimal" w:leader="dot" w:pos="5669"/>
        <w:tab w:val="right" w:pos="6236"/>
      </w:tabs>
      <w:spacing w:after="57" w:line="262" w:lineRule="atLeast"/>
      <w:ind w:left="227"/>
    </w:pPr>
    <w:rPr>
      <w:rFonts w:ascii="Century731 BT" w:hAnsi="Century731 BT" w:cs="Century731 BT"/>
      <w:smallCaps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7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7F4F"/>
    <w:rPr>
      <w:rFonts w:cs="Times New Roman"/>
    </w:rPr>
  </w:style>
  <w:style w:type="paragraph" w:styleId="Rodap">
    <w:name w:val="footer"/>
    <w:basedOn w:val="Normal"/>
    <w:link w:val="RodapChar"/>
    <w:unhideWhenUsed/>
    <w:rsid w:val="00C17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7F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tilodepargrafo">
    <w:name w:val="[Sem estilo de parág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1">
    <w:name w:val="1"/>
    <w:basedOn w:val="Semestilodepargrafo"/>
    <w:uiPriority w:val="99"/>
    <w:pPr>
      <w:tabs>
        <w:tab w:val="left" w:pos="340"/>
      </w:tabs>
      <w:suppressAutoHyphens/>
      <w:spacing w:before="340" w:after="170" w:line="280" w:lineRule="atLeast"/>
      <w:ind w:left="340" w:hanging="340"/>
    </w:pPr>
    <w:rPr>
      <w:rFonts w:ascii="Century731 BT" w:hAnsi="Century731 BT" w:cs="Century731 BT"/>
      <w:b/>
      <w:bCs/>
      <w:w w:val="90"/>
    </w:rPr>
  </w:style>
  <w:style w:type="paragraph" w:customStyle="1" w:styleId="BOLINHA">
    <w:name w:val="BOLINHA"/>
    <w:basedOn w:val="Semestilodepargrafo"/>
    <w:uiPriority w:val="99"/>
    <w:pPr>
      <w:tabs>
        <w:tab w:val="left" w:pos="198"/>
      </w:tabs>
      <w:spacing w:before="57" w:after="57" w:line="272" w:lineRule="atLeast"/>
      <w:ind w:left="198" w:hanging="198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10">
    <w:name w:val="1)"/>
    <w:basedOn w:val="Semestilodepargrafo"/>
    <w:uiPriority w:val="99"/>
    <w:pPr>
      <w:tabs>
        <w:tab w:val="left" w:pos="283"/>
      </w:tabs>
      <w:spacing w:before="68" w:after="68" w:line="276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titcorpomenor">
    <w:name w:val="tit corpo menor"/>
    <w:basedOn w:val="10"/>
    <w:uiPriority w:val="99"/>
    <w:pPr>
      <w:spacing w:before="283" w:after="170"/>
      <w:ind w:firstLine="0"/>
    </w:pPr>
    <w:rPr>
      <w:b/>
      <w:bCs/>
      <w:spacing w:val="-4"/>
      <w:w w:val="90"/>
      <w:sz w:val="20"/>
      <w:szCs w:val="20"/>
    </w:rPr>
  </w:style>
  <w:style w:type="paragraph" w:customStyle="1" w:styleId="corpomenor">
    <w:name w:val="corpo menor"/>
    <w:basedOn w:val="Semestilodepargrafo"/>
    <w:uiPriority w:val="99"/>
    <w:pPr>
      <w:spacing w:before="57" w:after="57" w:line="240" w:lineRule="atLeast"/>
      <w:ind w:left="283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anexo">
    <w:name w:val="anexo"/>
    <w:basedOn w:val="1"/>
    <w:next w:val="1"/>
    <w:uiPriority w:val="99"/>
    <w:pPr>
      <w:spacing w:before="0" w:after="57" w:line="300" w:lineRule="atLeast"/>
      <w:jc w:val="center"/>
    </w:pPr>
    <w:rPr>
      <w:caps/>
      <w:sz w:val="28"/>
      <w:szCs w:val="28"/>
    </w:rPr>
  </w:style>
  <w:style w:type="paragraph" w:customStyle="1" w:styleId="ANEXO0">
    <w:name w:val="ANEXO"/>
    <w:basedOn w:val="anexo"/>
    <w:next w:val="anexo"/>
    <w:uiPriority w:val="99"/>
    <w:pPr>
      <w:spacing w:before="340"/>
      <w:ind w:left="0" w:firstLine="0"/>
    </w:pPr>
    <w:rPr>
      <w:caps w:val="0"/>
    </w:rPr>
  </w:style>
  <w:style w:type="paragraph" w:customStyle="1" w:styleId="ANEXO1">
    <w:name w:val="ANEXO1"/>
    <w:basedOn w:val="1"/>
    <w:next w:val="1"/>
    <w:uiPriority w:val="99"/>
    <w:pPr>
      <w:spacing w:before="0" w:after="340"/>
      <w:ind w:left="0" w:firstLine="0"/>
      <w:jc w:val="center"/>
    </w:pPr>
  </w:style>
  <w:style w:type="paragraph" w:customStyle="1" w:styleId="DJ">
    <w:name w:val="DJ"/>
    <w:basedOn w:val="Semestilodepargrafo"/>
    <w:uiPriority w:val="99"/>
    <w:pPr>
      <w:spacing w:before="68" w:after="170" w:line="276" w:lineRule="atLeast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texto">
    <w:name w:val="texto"/>
    <w:basedOn w:val="Semestilodepargrafo"/>
    <w:uiPriority w:val="99"/>
    <w:pPr>
      <w:spacing w:before="68" w:after="68" w:line="276" w:lineRule="atLeast"/>
      <w:ind w:firstLine="567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seminrio1">
    <w:name w:val="seminário1"/>
    <w:basedOn w:val="Semestilodepargrafo"/>
    <w:uiPriority w:val="99"/>
    <w:pPr>
      <w:tabs>
        <w:tab w:val="right" w:leader="dot" w:pos="5954"/>
      </w:tabs>
      <w:spacing w:after="794" w:line="358" w:lineRule="atLeast"/>
      <w:jc w:val="center"/>
    </w:pPr>
    <w:rPr>
      <w:rFonts w:ascii="Garamond" w:hAnsi="Garamond" w:cs="Garamond"/>
      <w:b/>
      <w:bCs/>
      <w:sz w:val="32"/>
      <w:szCs w:val="32"/>
    </w:rPr>
  </w:style>
  <w:style w:type="paragraph" w:customStyle="1" w:styleId="abrerecuo">
    <w:name w:val="abre recu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fecharecuo">
    <w:name w:val="fecha recu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Pargrafobsico">
    <w:name w:val="[Parágrafo básico]"/>
    <w:basedOn w:val="Semestilodepargrafo"/>
    <w:uiPriority w:val="99"/>
  </w:style>
  <w:style w:type="paragraph" w:customStyle="1" w:styleId="recuo">
    <w:name w:val="recuo"/>
    <w:basedOn w:val="Pargrafobsico"/>
    <w:uiPriority w:val="99"/>
    <w:pPr>
      <w:spacing w:before="22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recuoredondo">
    <w:name w:val="recuo redondo"/>
    <w:basedOn w:val="recuo"/>
    <w:uiPriority w:val="99"/>
  </w:style>
  <w:style w:type="paragraph" w:customStyle="1" w:styleId="EMENTA">
    <w:name w:val="EMENTA"/>
    <w:basedOn w:val="1"/>
    <w:next w:val="1"/>
    <w:uiPriority w:val="99"/>
    <w:pPr>
      <w:spacing w:line="272" w:lineRule="atLeast"/>
      <w:ind w:left="0" w:firstLine="0"/>
      <w:jc w:val="center"/>
    </w:pPr>
    <w:rPr>
      <w:caps/>
      <w:w w:val="100"/>
    </w:rPr>
  </w:style>
  <w:style w:type="paragraph" w:customStyle="1" w:styleId="TEXTO0">
    <w:name w:val="TEXTO"/>
    <w:basedOn w:val="Semestilodepargrafo"/>
    <w:uiPriority w:val="99"/>
    <w:pPr>
      <w:spacing w:before="57" w:after="57" w:line="280" w:lineRule="atLeast"/>
      <w:ind w:firstLine="510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abrerecuoredondo">
    <w:name w:val="abre recuo redond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meiorecuoredondo">
    <w:name w:val="meio recuo redondo"/>
    <w:basedOn w:val="Semestilodepargrafo"/>
    <w:uiPriority w:val="99"/>
    <w:pPr>
      <w:spacing w:before="57" w:after="57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fecharecuoredondo">
    <w:name w:val="fecha recuo redond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BIBLIO">
    <w:name w:val="BIBLIO"/>
    <w:basedOn w:val="TEXTO0"/>
    <w:uiPriority w:val="99"/>
    <w:pPr>
      <w:spacing w:before="68" w:after="68" w:line="276" w:lineRule="atLeast"/>
      <w:ind w:left="340" w:hanging="340"/>
    </w:pPr>
  </w:style>
  <w:style w:type="paragraph" w:styleId="Textodenotaderodap">
    <w:name w:val="footnote text"/>
    <w:basedOn w:val="Pargrafobsico"/>
    <w:link w:val="TextodenotaderodapChar"/>
    <w:uiPriority w:val="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paragraph" w:customStyle="1" w:styleId="roda">
    <w:name w:val="roda"/>
    <w:basedOn w:val="Textodenotaderodap"/>
    <w:uiPriority w:val="99"/>
    <w:pPr>
      <w:spacing w:before="28" w:after="28" w:line="220" w:lineRule="atLeast"/>
      <w:jc w:val="both"/>
    </w:pPr>
    <w:rPr>
      <w:rFonts w:ascii="Century731 BT" w:hAnsi="Century731 BT" w:cs="Century731 BT"/>
      <w:sz w:val="18"/>
      <w:szCs w:val="18"/>
    </w:rPr>
  </w:style>
  <w:style w:type="character" w:customStyle="1" w:styleId="pagtit">
    <w:name w:val="pag_tit"/>
    <w:uiPriority w:val="99"/>
    <w:rPr>
      <w:w w:val="100"/>
    </w:rPr>
  </w:style>
  <w:style w:type="paragraph" w:customStyle="1" w:styleId="anexo2">
    <w:name w:val="anexo..."/>
    <w:basedOn w:val="Semestilodepargrafo"/>
    <w:uiPriority w:val="99"/>
    <w:rsid w:val="00940D52"/>
    <w:pPr>
      <w:tabs>
        <w:tab w:val="decimal" w:leader="dot" w:pos="5669"/>
        <w:tab w:val="right" w:pos="6236"/>
      </w:tabs>
      <w:spacing w:after="57" w:line="262" w:lineRule="atLeast"/>
      <w:ind w:left="227"/>
    </w:pPr>
    <w:rPr>
      <w:rFonts w:ascii="Century731 BT" w:hAnsi="Century731 BT" w:cs="Century731 BT"/>
      <w:smallCaps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7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7F4F"/>
    <w:rPr>
      <w:rFonts w:cs="Times New Roman"/>
    </w:rPr>
  </w:style>
  <w:style w:type="paragraph" w:styleId="Rodap">
    <w:name w:val="footer"/>
    <w:basedOn w:val="Normal"/>
    <w:link w:val="RodapChar"/>
    <w:unhideWhenUsed/>
    <w:rsid w:val="00C17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7F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E376-1274-4777-A9C3-47BAFB31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3594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FINANCEIRO</cp:lastModifiedBy>
  <cp:revision>2</cp:revision>
  <dcterms:created xsi:type="dcterms:W3CDTF">2016-01-13T13:22:00Z</dcterms:created>
  <dcterms:modified xsi:type="dcterms:W3CDTF">2016-01-13T13:22:00Z</dcterms:modified>
</cp:coreProperties>
</file>