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9F" w:rsidRDefault="0066309F" w:rsidP="0066309F">
      <w:pPr>
        <w:pStyle w:val="Semestilodepargrafo"/>
        <w:suppressAutoHyphens/>
        <w:rPr>
          <w:rFonts w:ascii="Arial" w:hAnsi="Arial" w:cs="Arial"/>
          <w:smallCaps/>
          <w:sz w:val="20"/>
          <w:szCs w:val="20"/>
        </w:rPr>
      </w:pPr>
      <w:bookmarkStart w:id="0" w:name="_GoBack"/>
      <w:bookmarkEnd w:id="0"/>
    </w:p>
    <w:p w:rsidR="0066309F" w:rsidRDefault="0066309F" w:rsidP="0066309F">
      <w:pPr>
        <w:pStyle w:val="Semestilodepargrafo"/>
        <w:suppressAutoHyphens/>
        <w:rPr>
          <w:rFonts w:ascii="Arial" w:hAnsi="Arial" w:cs="Arial"/>
          <w:smallCaps/>
          <w:sz w:val="20"/>
          <w:szCs w:val="20"/>
        </w:rPr>
      </w:pPr>
    </w:p>
    <w:p w:rsidR="0066309F" w:rsidRDefault="0066309F" w:rsidP="005F63FE">
      <w:pPr>
        <w:pStyle w:val="Semestilodepargrafo"/>
        <w:suppressAutoHyphens/>
        <w:jc w:val="center"/>
        <w:rPr>
          <w:rFonts w:ascii="Arial" w:hAnsi="Arial" w:cs="Arial"/>
          <w:smallCaps/>
          <w:sz w:val="20"/>
          <w:szCs w:val="20"/>
        </w:rPr>
      </w:pPr>
    </w:p>
    <w:p w:rsidR="0066309F" w:rsidRDefault="0066309F" w:rsidP="005F63FE">
      <w:pPr>
        <w:pStyle w:val="Semestilodepargrafo"/>
        <w:suppressAutoHyphens/>
        <w:jc w:val="center"/>
        <w:rPr>
          <w:rFonts w:ascii="Arial" w:hAnsi="Arial" w:cs="Arial"/>
          <w:smallCaps/>
          <w:sz w:val="20"/>
          <w:szCs w:val="20"/>
        </w:rPr>
      </w:pPr>
    </w:p>
    <w:p w:rsidR="005F63FE" w:rsidRPr="0066309F" w:rsidRDefault="005F63FE" w:rsidP="005F63FE">
      <w:pPr>
        <w:pStyle w:val="Semestilodepargrafo"/>
        <w:suppressAutoHyphens/>
        <w:jc w:val="center"/>
        <w:rPr>
          <w:rFonts w:ascii="Arial" w:hAnsi="Arial" w:cs="Arial"/>
          <w:b/>
          <w:bCs/>
          <w:smallCaps/>
          <w:sz w:val="48"/>
          <w:szCs w:val="48"/>
        </w:rPr>
      </w:pPr>
      <w:r w:rsidRPr="0066309F">
        <w:rPr>
          <w:rFonts w:ascii="Arial" w:hAnsi="Arial" w:cs="Arial"/>
          <w:b/>
          <w:bCs/>
          <w:caps/>
          <w:sz w:val="36"/>
          <w:szCs w:val="36"/>
        </w:rPr>
        <w:t>CURSO DE ESPECIALIZAÇÃO EM Direito Tributário</w:t>
      </w:r>
    </w:p>
    <w:p w:rsidR="005F63FE" w:rsidRPr="0066309F" w:rsidRDefault="005F63FE" w:rsidP="005F63FE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5F63FE" w:rsidRPr="0066309F" w:rsidRDefault="005F63FE" w:rsidP="005F63FE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color w:val="000000"/>
          <w:sz w:val="32"/>
          <w:szCs w:val="32"/>
        </w:rPr>
      </w:pPr>
      <w:r w:rsidRPr="0066309F">
        <w:rPr>
          <w:rFonts w:ascii="Arial" w:hAnsi="Arial" w:cs="Arial"/>
          <w:color w:val="000000"/>
          <w:sz w:val="28"/>
          <w:szCs w:val="28"/>
        </w:rPr>
        <w:t>Módulo Exigibilidade do Crédito Tributário</w:t>
      </w:r>
    </w:p>
    <w:p w:rsidR="005F63FE" w:rsidRPr="0066309F" w:rsidRDefault="005F63FE" w:rsidP="005F63FE">
      <w:pPr>
        <w:suppressAutoHyphens/>
        <w:autoSpaceDE w:val="0"/>
        <w:autoSpaceDN w:val="0"/>
        <w:adjustRightInd w:val="0"/>
        <w:spacing w:before="119" w:after="0" w:line="288" w:lineRule="auto"/>
        <w:jc w:val="center"/>
        <w:textAlignment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:rsidR="005F63FE" w:rsidRPr="0066309F" w:rsidRDefault="005F63FE" w:rsidP="005F63FE">
      <w:pPr>
        <w:suppressAutoHyphens/>
        <w:autoSpaceDE w:val="0"/>
        <w:autoSpaceDN w:val="0"/>
        <w:adjustRightInd w:val="0"/>
        <w:spacing w:before="119"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6309F">
        <w:rPr>
          <w:rFonts w:ascii="Arial" w:hAnsi="Arial" w:cs="Arial"/>
          <w:b/>
          <w:bCs/>
          <w:smallCaps/>
          <w:color w:val="000000"/>
          <w:sz w:val="28"/>
          <w:szCs w:val="28"/>
        </w:rPr>
        <w:t>Presidente</w:t>
      </w:r>
    </w:p>
    <w:p w:rsidR="005F63FE" w:rsidRPr="0066309F" w:rsidRDefault="005F63FE" w:rsidP="005F63FE">
      <w:pPr>
        <w:keepNext/>
        <w:tabs>
          <w:tab w:val="left" w:pos="1060"/>
        </w:tabs>
        <w:suppressAutoHyphens/>
        <w:autoSpaceDE w:val="0"/>
        <w:autoSpaceDN w:val="0"/>
        <w:adjustRightInd w:val="0"/>
        <w:spacing w:before="57" w:after="113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6309F">
        <w:rPr>
          <w:rFonts w:ascii="Arial" w:hAnsi="Arial" w:cs="Arial"/>
          <w:i/>
          <w:iCs/>
          <w:color w:val="000000"/>
          <w:sz w:val="24"/>
          <w:szCs w:val="24"/>
        </w:rPr>
        <w:t>Paulo de Barros Carvalho</w:t>
      </w:r>
    </w:p>
    <w:p w:rsidR="005F63FE" w:rsidRPr="0066309F" w:rsidRDefault="005F63FE" w:rsidP="005F63FE">
      <w:pPr>
        <w:suppressAutoHyphens/>
        <w:autoSpaceDE w:val="0"/>
        <w:autoSpaceDN w:val="0"/>
        <w:adjustRightInd w:val="0"/>
        <w:spacing w:before="119"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6309F">
        <w:rPr>
          <w:rFonts w:ascii="Arial" w:hAnsi="Arial" w:cs="Arial"/>
          <w:b/>
          <w:bCs/>
          <w:smallCaps/>
          <w:color w:val="000000"/>
          <w:sz w:val="28"/>
          <w:szCs w:val="28"/>
        </w:rPr>
        <w:t>Coordenadora</w:t>
      </w:r>
    </w:p>
    <w:p w:rsidR="005F63FE" w:rsidRPr="0066309F" w:rsidRDefault="005F63FE" w:rsidP="005F63FE">
      <w:pPr>
        <w:keepNext/>
        <w:tabs>
          <w:tab w:val="left" w:pos="1060"/>
        </w:tabs>
        <w:suppressAutoHyphens/>
        <w:autoSpaceDE w:val="0"/>
        <w:autoSpaceDN w:val="0"/>
        <w:adjustRightInd w:val="0"/>
        <w:spacing w:before="28"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6309F">
        <w:rPr>
          <w:rFonts w:ascii="Arial" w:hAnsi="Arial" w:cs="Arial"/>
          <w:i/>
          <w:iCs/>
          <w:color w:val="000000"/>
          <w:sz w:val="24"/>
          <w:szCs w:val="24"/>
        </w:rPr>
        <w:t>Priscila de Souza</w:t>
      </w:r>
    </w:p>
    <w:p w:rsidR="005F63FE" w:rsidRPr="0066309F" w:rsidRDefault="005F63FE" w:rsidP="005F63FE">
      <w:pPr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F63FE" w:rsidRPr="0066309F" w:rsidRDefault="005F63FE" w:rsidP="00ED7AA0">
      <w:pPr>
        <w:pStyle w:val="Semestilodepargrafo"/>
        <w:spacing w:after="454"/>
        <w:jc w:val="center"/>
        <w:rPr>
          <w:rFonts w:ascii="Arial" w:hAnsi="Arial" w:cs="Arial"/>
        </w:rPr>
      </w:pPr>
      <w:r w:rsidRPr="0066309F">
        <w:rPr>
          <w:rFonts w:ascii="Arial" w:hAnsi="Arial" w:cs="Arial"/>
          <w:b/>
          <w:bCs/>
          <w:sz w:val="44"/>
          <w:szCs w:val="44"/>
        </w:rPr>
        <w:br w:type="page"/>
      </w:r>
    </w:p>
    <w:p w:rsidR="009A71CC" w:rsidRDefault="009A71CC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b/>
          <w:bCs/>
          <w:sz w:val="44"/>
          <w:szCs w:val="44"/>
        </w:rPr>
        <w:sectPr w:rsidR="009A71CC" w:rsidSect="00ED7AA0">
          <w:headerReference w:type="default" r:id="rId9"/>
          <w:footerReference w:type="default" r:id="rId10"/>
          <w:headerReference w:type="first" r:id="rId11"/>
          <w:pgSz w:w="8392" w:h="11907" w:code="11"/>
          <w:pgMar w:top="1247" w:right="567" w:bottom="851" w:left="851" w:header="454" w:footer="567" w:gutter="0"/>
          <w:cols w:space="720"/>
          <w:noEndnote/>
          <w:docGrid w:linePitch="299"/>
        </w:sectPr>
      </w:pPr>
    </w:p>
    <w:p w:rsidR="005F63FE" w:rsidRPr="0066309F" w:rsidRDefault="005F63FE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66309F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66309F">
        <w:rPr>
          <w:rFonts w:ascii="Arial" w:hAnsi="Arial" w:cs="Arial"/>
          <w:b/>
          <w:bCs/>
          <w:sz w:val="48"/>
          <w:szCs w:val="48"/>
        </w:rPr>
        <w:t>I</w:t>
      </w:r>
    </w:p>
    <w:p w:rsidR="005F63FE" w:rsidRPr="0066309F" w:rsidRDefault="005F63FE">
      <w:pPr>
        <w:pStyle w:val="seminrio1"/>
        <w:rPr>
          <w:rFonts w:ascii="Arial" w:hAnsi="Arial" w:cs="Arial"/>
        </w:rPr>
      </w:pPr>
      <w:r w:rsidRPr="0066309F">
        <w:rPr>
          <w:rFonts w:ascii="Arial" w:hAnsi="Arial" w:cs="Arial"/>
        </w:rPr>
        <w:t>PROCEDIMENTO</w:t>
      </w:r>
      <w:r w:rsidR="008556ED" w:rsidRPr="0066309F">
        <w:rPr>
          <w:rFonts w:ascii="Arial" w:hAnsi="Arial" w:cs="Arial"/>
        </w:rPr>
        <w:br/>
      </w:r>
      <w:r w:rsidRPr="0066309F">
        <w:rPr>
          <w:rFonts w:ascii="Arial" w:hAnsi="Arial" w:cs="Arial"/>
        </w:rPr>
        <w:t>ADMINISTRATIVO FISCAL</w:t>
      </w:r>
    </w:p>
    <w:p w:rsidR="005F63FE" w:rsidRPr="0066309F" w:rsidRDefault="005F63FE">
      <w:pPr>
        <w:pStyle w:val="1"/>
        <w:rPr>
          <w:rFonts w:ascii="Arial" w:hAnsi="Arial" w:cs="Arial"/>
          <w:w w:val="100"/>
        </w:rPr>
      </w:pPr>
      <w:r w:rsidRPr="0066309F">
        <w:rPr>
          <w:rFonts w:ascii="Arial" w:hAnsi="Arial" w:cs="Arial"/>
          <w:w w:val="100"/>
        </w:rPr>
        <w:t>Questões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1.</w:t>
      </w:r>
      <w:r w:rsidRPr="0066309F">
        <w:rPr>
          <w:rFonts w:ascii="Arial" w:hAnsi="Arial" w:cs="Arial"/>
        </w:rPr>
        <w:tab/>
        <w:t xml:space="preserve">Recurso administrativo protocolado intempestivamente tem o condão de suspender a exigibilidade do crédito tributário? Fundamentar sua decisão baseada no que dispõe o art. 35 do Decreto Federal n. 70.235/1972: </w:t>
      </w:r>
      <w:r w:rsidRPr="0066309F">
        <w:rPr>
          <w:rFonts w:ascii="Arial" w:hAnsi="Arial" w:cs="Arial"/>
          <w:i/>
          <w:iCs/>
        </w:rPr>
        <w:t>“Art. 35. O recurso, mesmo perempto, será encam</w:t>
      </w:r>
      <w:r w:rsidRPr="0066309F">
        <w:rPr>
          <w:rFonts w:ascii="Arial" w:hAnsi="Arial" w:cs="Arial"/>
          <w:i/>
          <w:iCs/>
        </w:rPr>
        <w:t>i</w:t>
      </w:r>
      <w:r w:rsidRPr="0066309F">
        <w:rPr>
          <w:rFonts w:ascii="Arial" w:hAnsi="Arial" w:cs="Arial"/>
          <w:i/>
          <w:iCs/>
        </w:rPr>
        <w:t>nhado ao órgão de segunda instância, que julgará a perempção.”</w:t>
      </w:r>
      <w:r w:rsidRPr="0066309F">
        <w:rPr>
          <w:rFonts w:ascii="Arial" w:hAnsi="Arial" w:cs="Arial"/>
        </w:rPr>
        <w:t xml:space="preserve"> (Vide anexos I, II e III).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2.</w:t>
      </w:r>
      <w:r w:rsidRPr="0066309F">
        <w:rPr>
          <w:rFonts w:ascii="Arial" w:hAnsi="Arial" w:cs="Arial"/>
        </w:rPr>
        <w:tab/>
        <w:t>Considerando a presunção de legitimidade dos atos administrativos, o ônus da prova compete sempre aos contribuintes? Até que m</w:t>
      </w:r>
      <w:r w:rsidRPr="0066309F">
        <w:rPr>
          <w:rFonts w:ascii="Arial" w:hAnsi="Arial" w:cs="Arial"/>
        </w:rPr>
        <w:t>o</w:t>
      </w:r>
      <w:r w:rsidRPr="0066309F">
        <w:rPr>
          <w:rFonts w:ascii="Arial" w:hAnsi="Arial" w:cs="Arial"/>
        </w:rPr>
        <w:t>mento o contribuinte (recorrente) pode juntar aos autos provas d</w:t>
      </w:r>
      <w:r w:rsidRPr="0066309F">
        <w:rPr>
          <w:rFonts w:ascii="Arial" w:hAnsi="Arial" w:cs="Arial"/>
        </w:rPr>
        <w:t>o</w:t>
      </w:r>
      <w:r w:rsidRPr="0066309F">
        <w:rPr>
          <w:rFonts w:ascii="Arial" w:hAnsi="Arial" w:cs="Arial"/>
        </w:rPr>
        <w:t>cumentais? (Vide anexo IV).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3.</w:t>
      </w:r>
      <w:r w:rsidRPr="0066309F">
        <w:rPr>
          <w:rFonts w:ascii="Arial" w:hAnsi="Arial" w:cs="Arial"/>
        </w:rPr>
        <w:tab/>
        <w:t>Os tribunais administrativos exercem “jurisdição”? Justifique sua resposta, definindo “jurisdição”. Podem, no ato de julgar, afastar a aplicação de lei sob a alegação de sua incompatibilidade com a Constituição? Pode a decisão administrativa inovar o feito, agr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vando o lançamento por ocasião do julgamento da defesa do co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>tribuinte? (Vide anexos V e VI).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4.</w:t>
      </w:r>
      <w:r w:rsidRPr="0066309F">
        <w:rPr>
          <w:rFonts w:ascii="Arial" w:hAnsi="Arial" w:cs="Arial"/>
        </w:rPr>
        <w:tab/>
        <w:t>Recurso administrativo interposto junto ao CARF é julgado, por unanimidade, favoravelmente ao contribuinte. A decisão exarada é passível de controle pelo Judiciário em ação proposta pelo Fisco?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5.</w:t>
      </w:r>
      <w:r w:rsidRPr="0066309F">
        <w:rPr>
          <w:rFonts w:ascii="Arial" w:hAnsi="Arial" w:cs="Arial"/>
        </w:rPr>
        <w:tab/>
        <w:t>A existência de processo judicial e administrativo concomitantes implica renúncia às instâncias administrativas? (Vide anexos VII, VIIII e IX).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lastRenderedPageBreak/>
        <w:t>6.</w:t>
      </w:r>
      <w:r w:rsidRPr="0066309F">
        <w:rPr>
          <w:rFonts w:ascii="Arial" w:hAnsi="Arial" w:cs="Arial"/>
        </w:rPr>
        <w:tab/>
        <w:t>Respondendo consulta formulada por contribuinte, a Receita Federal do Brasil, por intermédio de seu secretário, manifesta sua conco</w:t>
      </w:r>
      <w:r w:rsidRPr="0066309F">
        <w:rPr>
          <w:rFonts w:ascii="Arial" w:hAnsi="Arial" w:cs="Arial"/>
        </w:rPr>
        <w:t>r</w:t>
      </w:r>
      <w:r w:rsidRPr="0066309F">
        <w:rPr>
          <w:rFonts w:ascii="Arial" w:hAnsi="Arial" w:cs="Arial"/>
        </w:rPr>
        <w:t>dância a respeito do posicionamento por ele adotado. Posterio</w:t>
      </w:r>
      <w:r w:rsidRPr="0066309F">
        <w:rPr>
          <w:rFonts w:ascii="Arial" w:hAnsi="Arial" w:cs="Arial"/>
        </w:rPr>
        <w:t>r</w:t>
      </w:r>
      <w:r w:rsidRPr="0066309F">
        <w:rPr>
          <w:rFonts w:ascii="Arial" w:hAnsi="Arial" w:cs="Arial"/>
        </w:rPr>
        <w:t>mente, o STF (sem modulação dos efeitos) julga inconstitucional a lei sob a qual tal entendimento estava embasado. Quais as cons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quências dessa decisão em relação ao ato administrativo exarado pelo secretário da Receita Federal do Brasil?</w:t>
      </w:r>
    </w:p>
    <w:p w:rsidR="005F63FE" w:rsidRPr="0066309F" w:rsidRDefault="005F63FE">
      <w:pPr>
        <w:pStyle w:val="texto"/>
        <w:ind w:firstLine="0"/>
        <w:rPr>
          <w:rFonts w:ascii="Arial" w:hAnsi="Arial" w:cs="Arial"/>
          <w:b/>
          <w:bCs/>
        </w:rPr>
      </w:pPr>
      <w:r w:rsidRPr="0066309F">
        <w:rPr>
          <w:rFonts w:ascii="Arial" w:hAnsi="Arial" w:cs="Arial"/>
        </w:rPr>
        <w:br w:type="page"/>
      </w:r>
    </w:p>
    <w:p w:rsidR="005F63FE" w:rsidRPr="0066309F" w:rsidRDefault="005F63FE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66309F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66309F">
        <w:rPr>
          <w:rFonts w:ascii="Arial" w:hAnsi="Arial" w:cs="Arial"/>
          <w:b/>
          <w:bCs/>
          <w:sz w:val="48"/>
          <w:szCs w:val="48"/>
        </w:rPr>
        <w:t>II</w:t>
      </w:r>
    </w:p>
    <w:p w:rsidR="005F63FE" w:rsidRPr="0066309F" w:rsidRDefault="005F63FE">
      <w:pPr>
        <w:pStyle w:val="seminrio1"/>
        <w:rPr>
          <w:rFonts w:ascii="Arial" w:hAnsi="Arial" w:cs="Arial"/>
        </w:rPr>
      </w:pPr>
      <w:r w:rsidRPr="0066309F">
        <w:rPr>
          <w:rFonts w:ascii="Arial" w:hAnsi="Arial" w:cs="Arial"/>
        </w:rPr>
        <w:t>SUSPENSÃO DA EXIGIBILIDADE DO CR</w:t>
      </w:r>
      <w:r w:rsidRPr="0066309F">
        <w:rPr>
          <w:rFonts w:ascii="Arial" w:hAnsi="Arial" w:cs="Arial"/>
        </w:rPr>
        <w:t>É</w:t>
      </w:r>
      <w:r w:rsidRPr="0066309F">
        <w:rPr>
          <w:rFonts w:ascii="Arial" w:hAnsi="Arial" w:cs="Arial"/>
        </w:rPr>
        <w:t>DITO TRIBUTÁRIO, MANDADO DE SEG</w:t>
      </w:r>
      <w:r w:rsidRPr="0066309F">
        <w:rPr>
          <w:rFonts w:ascii="Arial" w:hAnsi="Arial" w:cs="Arial"/>
        </w:rPr>
        <w:t>U</w:t>
      </w:r>
      <w:r w:rsidRPr="0066309F">
        <w:rPr>
          <w:rFonts w:ascii="Arial" w:hAnsi="Arial" w:cs="Arial"/>
        </w:rPr>
        <w:t>RANÇA E LIMINARES</w:t>
      </w:r>
    </w:p>
    <w:p w:rsidR="005F63FE" w:rsidRPr="0066309F" w:rsidRDefault="005F63FE">
      <w:pPr>
        <w:pStyle w:val="1"/>
        <w:rPr>
          <w:rFonts w:ascii="Arial" w:hAnsi="Arial" w:cs="Arial"/>
          <w:w w:val="100"/>
        </w:rPr>
      </w:pPr>
      <w:r w:rsidRPr="0066309F">
        <w:rPr>
          <w:rFonts w:ascii="Arial" w:hAnsi="Arial" w:cs="Arial"/>
          <w:w w:val="100"/>
        </w:rPr>
        <w:t>Questões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1.</w:t>
      </w:r>
      <w:r w:rsidRPr="0066309F">
        <w:rPr>
          <w:rFonts w:ascii="Arial" w:hAnsi="Arial" w:cs="Arial"/>
        </w:rPr>
        <w:tab/>
        <w:t>No art. 151 do CTN, que significa o termo “exigibilidade”? Quando surge essa “exigibilidade”? E qual o efeito da suspensão da exigib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lidade? Impede-se (i) o lançamento, (ii) a inscrição na dívida ativa, (iii) a execução fiscal; (iv) todos estes atos? (Vide anexo 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2.</w:t>
      </w:r>
      <w:r w:rsidRPr="0066309F">
        <w:rPr>
          <w:rFonts w:ascii="Arial" w:hAnsi="Arial" w:cs="Arial"/>
        </w:rPr>
        <w:tab/>
        <w:t>Em que acepção a expressão “crédito tributário” foi utilizada no art. 151 do CTN? Essa expressão congrega também liames decorrentes da prática de atos ilícitos (</w:t>
      </w:r>
      <w:r w:rsidRPr="0066309F">
        <w:rPr>
          <w:rFonts w:ascii="Arial" w:hAnsi="Arial" w:cs="Arial"/>
          <w:i/>
          <w:iCs/>
        </w:rPr>
        <w:t>e.g.</w:t>
      </w:r>
      <w:r w:rsidRPr="0066309F">
        <w:rPr>
          <w:rFonts w:ascii="Arial" w:hAnsi="Arial" w:cs="Arial"/>
        </w:rPr>
        <w:t xml:space="preserve"> multa por desrespeito aos deveres instrumentais)? As hipóteses de “suspensão da exigibilidade do crédito tributário” previstas no art. 151 do CTN são taxativas? (Vide anexos II e III).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3.</w:t>
      </w:r>
      <w:r w:rsidRPr="0066309F">
        <w:rPr>
          <w:rFonts w:ascii="Arial" w:hAnsi="Arial" w:cs="Arial"/>
        </w:rPr>
        <w:tab/>
        <w:t>Sobre o depósito judicial efetuado nos autos de uma ação declar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tória proposta antes da constituição do crédito tributário, pergunta-se: Trata-se de faculdade do contribuinte? Há distinção entre depósito judicial para fins do artigo 151, II do CTN e a prestação de caução em dinheiro? O levantamento do depósito judicial pelo contribuinte vi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>cula-se ao êxito (com trânsito em julgado) da ação ou o juiz pode a qualquer tempo autorizar o levantamento do depósito? (Vide anexos IV e V).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4.</w:t>
      </w:r>
      <w:r w:rsidRPr="0066309F">
        <w:rPr>
          <w:rFonts w:ascii="Arial" w:hAnsi="Arial" w:cs="Arial"/>
        </w:rPr>
        <w:tab/>
        <w:t>Sobre a liminar num mandado de segurança impetrado antes da constituição do crédito tributário, pergunta-se: a liminar suspende a exigibilidade da obrigação tributária? O Fisco pode constituir obr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lastRenderedPageBreak/>
        <w:t>gação tributária? Ou o Fisco está proibido de lançar? Justifique sua resposta, analisando os acórdãos dos anexos VI, VI e VIII.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5.</w:t>
      </w:r>
      <w:r w:rsidRPr="0066309F">
        <w:rPr>
          <w:rFonts w:ascii="Arial" w:hAnsi="Arial" w:cs="Arial"/>
        </w:rPr>
        <w:tab/>
        <w:t>Dado o seguinte caso concreto: Gênesis Waves Ltda. obteve liminar em Mandado de Segurança para suspender a exigibilidade do crédito tributário que posteriormente foi “cassada” pela sentença de den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gação da segurança. Pergunta-se: na hipótese de a empresa apelar da sentença que “cassou” a liminar, o recebimento de sua apelação no efeito suspensivo e devolutivo tem o condão de afastar os efeitos da sentença e reconstituir os efeitos da liminar? (Vide anexo IX).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6.</w:t>
      </w:r>
      <w:r w:rsidRPr="0066309F">
        <w:rPr>
          <w:rFonts w:ascii="Arial" w:hAnsi="Arial" w:cs="Arial"/>
        </w:rPr>
        <w:tab/>
        <w:t>Com a edição da Lei Federal n. 12.016/2009 o magistrado no m</w:t>
      </w:r>
      <w:r w:rsidRPr="0066309F">
        <w:rPr>
          <w:rFonts w:ascii="Arial" w:hAnsi="Arial" w:cs="Arial"/>
        </w:rPr>
        <w:t>o</w:t>
      </w:r>
      <w:r w:rsidRPr="0066309F">
        <w:rPr>
          <w:rFonts w:ascii="Arial" w:hAnsi="Arial" w:cs="Arial"/>
        </w:rPr>
        <w:t>mento em que concede a medida liminar está autorizado a dete</w:t>
      </w:r>
      <w:r w:rsidRPr="0066309F">
        <w:rPr>
          <w:rFonts w:ascii="Arial" w:hAnsi="Arial" w:cs="Arial"/>
        </w:rPr>
        <w:t>r</w:t>
      </w:r>
      <w:r w:rsidRPr="0066309F">
        <w:rPr>
          <w:rFonts w:ascii="Arial" w:hAnsi="Arial" w:cs="Arial"/>
        </w:rPr>
        <w:t>minar o oferecimento de caução pelo Impetrante (art. 7</w:t>
      </w:r>
      <w:r w:rsidRPr="0066309F">
        <w:rPr>
          <w:rFonts w:ascii="Arial" w:hAnsi="Arial" w:cs="Arial"/>
          <w:strike/>
          <w:lang w:bidi="ar-YE"/>
        </w:rPr>
        <w:t>º</w:t>
      </w:r>
      <w:r w:rsidRPr="0066309F">
        <w:rPr>
          <w:rFonts w:ascii="Arial" w:hAnsi="Arial" w:cs="Arial"/>
        </w:rPr>
        <w:t>, III). Pe</w:t>
      </w:r>
      <w:r w:rsidRPr="0066309F">
        <w:rPr>
          <w:rFonts w:ascii="Arial" w:hAnsi="Arial" w:cs="Arial"/>
        </w:rPr>
        <w:t>r</w:t>
      </w:r>
      <w:r w:rsidRPr="0066309F">
        <w:rPr>
          <w:rFonts w:ascii="Arial" w:hAnsi="Arial" w:cs="Arial"/>
        </w:rPr>
        <w:t>gunta-se: (i) qual a natureza jurídica dessa caução? (ii) na hipótese de se tratar de Mandado de Segurança preventivo, como deverá o juiz proceder ao determinar a caução, já que não há crédito tributário constituído?</w:t>
      </w:r>
    </w:p>
    <w:p w:rsidR="00ED7AA0" w:rsidRDefault="00ED7AA0">
      <w:pPr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:rsidR="005F63FE" w:rsidRPr="0066309F" w:rsidRDefault="005F63FE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66309F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66309F">
        <w:rPr>
          <w:rFonts w:ascii="Arial" w:hAnsi="Arial" w:cs="Arial"/>
          <w:b/>
          <w:bCs/>
          <w:sz w:val="48"/>
          <w:szCs w:val="48"/>
        </w:rPr>
        <w:t>III</w:t>
      </w:r>
    </w:p>
    <w:p w:rsidR="005F63FE" w:rsidRPr="0066309F" w:rsidRDefault="005F63FE">
      <w:pPr>
        <w:pStyle w:val="seminrio1"/>
        <w:suppressAutoHyphens/>
        <w:rPr>
          <w:rFonts w:ascii="Arial" w:hAnsi="Arial" w:cs="Arial"/>
        </w:rPr>
      </w:pPr>
      <w:r w:rsidRPr="0066309F">
        <w:rPr>
          <w:rFonts w:ascii="Arial" w:hAnsi="Arial" w:cs="Arial"/>
        </w:rPr>
        <w:t>DECADÊNCIA E PRESCRIÇÃO EM MATÉRIA TRIBUTÁRIA</w:t>
      </w:r>
    </w:p>
    <w:p w:rsidR="005F63FE" w:rsidRPr="0066309F" w:rsidRDefault="005F63FE">
      <w:pPr>
        <w:pStyle w:val="1"/>
        <w:rPr>
          <w:rFonts w:ascii="Arial" w:hAnsi="Arial" w:cs="Arial"/>
          <w:w w:val="100"/>
        </w:rPr>
      </w:pPr>
      <w:r w:rsidRPr="0066309F">
        <w:rPr>
          <w:rFonts w:ascii="Arial" w:hAnsi="Arial" w:cs="Arial"/>
          <w:w w:val="100"/>
        </w:rPr>
        <w:t>Questões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1.</w:t>
      </w:r>
      <w:r w:rsidRPr="0066309F">
        <w:rPr>
          <w:rFonts w:ascii="Arial" w:hAnsi="Arial" w:cs="Arial"/>
        </w:rPr>
        <w:tab/>
        <w:t>Diferençar, se possível: (i) decadência do direito de lançar, (ii) pre</w:t>
      </w:r>
      <w:r w:rsidRPr="0066309F">
        <w:rPr>
          <w:rFonts w:ascii="Arial" w:hAnsi="Arial" w:cs="Arial"/>
        </w:rPr>
        <w:t>s</w:t>
      </w:r>
      <w:r w:rsidRPr="0066309F">
        <w:rPr>
          <w:rFonts w:ascii="Arial" w:hAnsi="Arial" w:cs="Arial"/>
        </w:rPr>
        <w:t>crição do direito do Fisco cobrar o crédito tributário, (iii) decadência do direito do contribuinte pleitear a restituição do indébito tributário e (iv) prescrição do direito de ação do contribuinte repetir o indébito tributário.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2.</w:t>
      </w:r>
      <w:r w:rsidRPr="0066309F">
        <w:rPr>
          <w:rFonts w:ascii="Arial" w:hAnsi="Arial" w:cs="Arial"/>
        </w:rPr>
        <w:tab/>
        <w:t>Conjugando o art. 146, III, “b”, da CF e o princípio da autonomia dos entes federativos, responda: A União, os Estados, o Distrito Federal e os Municípios, por meio de lei ordinária, podem estabelecer prazo diverso do constante no CTN para a decadência e prescrição de seus créditos? E mediante lei complementar estadual ou municipal? (Vide anexo I e Súmula Vinculante n. 8 do STF).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3.</w:t>
      </w:r>
      <w:r w:rsidRPr="0066309F">
        <w:rPr>
          <w:rFonts w:ascii="Arial" w:hAnsi="Arial" w:cs="Arial"/>
        </w:rPr>
        <w:tab/>
        <w:t>Quando começa a contar o prazo de decadência para o Fisco lançar nos tributos sujeitos ao lançamento de ofício? E nos tributos sujeitos ao “lançamento por homologação”? Se não houver o que homologar, o prazo passa a ser o dos tributos sujeitos ao lançamento de ofício (vide anexos II e III)? E no caso de fraude (vide anexo IV)?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4.</w:t>
      </w:r>
      <w:r w:rsidRPr="0066309F">
        <w:rPr>
          <w:rFonts w:ascii="Arial" w:hAnsi="Arial" w:cs="Arial"/>
        </w:rPr>
        <w:tab/>
        <w:t>Como deve ser interpretado o parágrafo único do art. 173 do CTN? Que se entende por “medida preparatória indispensável ao lanç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mento”? Tal medida tem apenas o condão de antecipar o termo inicial da contagem do prazo prescrito no inciso I ou pode também po</w:t>
      </w:r>
      <w:r w:rsidRPr="0066309F">
        <w:rPr>
          <w:rFonts w:ascii="Arial" w:hAnsi="Arial" w:cs="Arial"/>
        </w:rPr>
        <w:t>s</w:t>
      </w:r>
      <w:r w:rsidRPr="0066309F">
        <w:rPr>
          <w:rFonts w:ascii="Arial" w:hAnsi="Arial" w:cs="Arial"/>
        </w:rPr>
        <w:t>tergá-lo? Trata-se de causa de interrupção do prazo decadencial? (Vide anexo V).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lastRenderedPageBreak/>
        <w:t>5.</w:t>
      </w:r>
      <w:r w:rsidRPr="0066309F">
        <w:rPr>
          <w:rFonts w:ascii="Arial" w:hAnsi="Arial" w:cs="Arial"/>
        </w:rPr>
        <w:tab/>
        <w:t>A Lei n. 11.051/04 trouxe previsão de prescrição intercorrente no processo judicial. Quanto ao processo administrativo fiscal, existe prescrição intercorrente no seu curso? E no decorrer do processo executivo fiscal? Justificar (vide anexos VI, VII e VIII).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6.</w:t>
      </w:r>
      <w:r w:rsidRPr="0066309F">
        <w:rPr>
          <w:rFonts w:ascii="Arial" w:hAnsi="Arial" w:cs="Arial"/>
        </w:rPr>
        <w:tab/>
        <w:t>Qual o marco inicial da contagem do prazo para redirecionamento da execução fiscal contra os sócios? Trata-se de prazo decadencial ou prescricional? (Vide anexos IX e X).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7.</w:t>
      </w:r>
      <w:r w:rsidRPr="0066309F">
        <w:rPr>
          <w:rFonts w:ascii="Arial" w:hAnsi="Arial" w:cs="Arial"/>
        </w:rPr>
        <w:tab/>
        <w:t>Sobre a decadência/prescrição do direito de repetir o indébito trib</w:t>
      </w:r>
      <w:r w:rsidRPr="0066309F">
        <w:rPr>
          <w:rFonts w:ascii="Arial" w:hAnsi="Arial" w:cs="Arial"/>
        </w:rPr>
        <w:t>u</w:t>
      </w:r>
      <w:r w:rsidRPr="0066309F">
        <w:rPr>
          <w:rFonts w:ascii="Arial" w:hAnsi="Arial" w:cs="Arial"/>
        </w:rPr>
        <w:t>tário pergunta-se: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a) Quais indébitos estão sujeitos ao art. 3</w:t>
      </w:r>
      <w:r w:rsidRPr="0066309F">
        <w:rPr>
          <w:rFonts w:ascii="Arial" w:hAnsi="Arial" w:cs="Arial"/>
          <w:strike/>
          <w:lang w:bidi="ar-YE"/>
        </w:rPr>
        <w:t>º</w:t>
      </w:r>
      <w:r w:rsidRPr="0066309F">
        <w:rPr>
          <w:rFonts w:ascii="Arial" w:hAnsi="Arial" w:cs="Arial"/>
        </w:rPr>
        <w:t xml:space="preserve"> da LC n. 118/2005: todos, independente da data do pagamento indevido; aqueles cuja rest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tuição seja requerida depois do termo inicial de sua vigência; ou somente os pagamentos efetuados após iniciada sua vigência? Ju</w:t>
      </w:r>
      <w:r w:rsidRPr="0066309F">
        <w:rPr>
          <w:rFonts w:ascii="Arial" w:hAnsi="Arial" w:cs="Arial"/>
        </w:rPr>
        <w:t>s</w:t>
      </w:r>
      <w:r w:rsidRPr="0066309F">
        <w:rPr>
          <w:rFonts w:ascii="Arial" w:hAnsi="Arial" w:cs="Arial"/>
        </w:rPr>
        <w:t>tificar (vide anexos XI e XII).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b) No caso de lei tributária julgada inconstitucional em ADIN (sem modulação de efeitos), como fica o prazo para repetir o indébito tr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butário? Conta-se do pagamento indevido ou o termo inicial seria a “data da declaração de inconstitucionalidade da lei que fundamentou o gravame”? (Vide anexos XIII e XIV).</w:t>
      </w:r>
    </w:p>
    <w:p w:rsidR="005F63FE" w:rsidRPr="0066309F" w:rsidRDefault="005F63FE">
      <w:pPr>
        <w:pStyle w:val="texto"/>
        <w:ind w:firstLine="0"/>
        <w:rPr>
          <w:rFonts w:ascii="Arial" w:hAnsi="Arial" w:cs="Arial"/>
        </w:rPr>
      </w:pPr>
      <w:r w:rsidRPr="0066309F">
        <w:rPr>
          <w:rFonts w:ascii="Arial" w:hAnsi="Arial" w:cs="Arial"/>
        </w:rPr>
        <w:br w:type="page"/>
      </w:r>
    </w:p>
    <w:p w:rsidR="005F63FE" w:rsidRPr="0066309F" w:rsidRDefault="005F63FE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66309F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66309F">
        <w:rPr>
          <w:rFonts w:ascii="Arial" w:hAnsi="Arial" w:cs="Arial"/>
          <w:b/>
          <w:bCs/>
          <w:sz w:val="48"/>
          <w:szCs w:val="48"/>
        </w:rPr>
        <w:t>IV</w:t>
      </w:r>
    </w:p>
    <w:p w:rsidR="005F63FE" w:rsidRPr="0066309F" w:rsidRDefault="005F63FE">
      <w:pPr>
        <w:pStyle w:val="seminrio1"/>
        <w:suppressAutoHyphens/>
        <w:rPr>
          <w:rFonts w:ascii="Arial" w:hAnsi="Arial" w:cs="Arial"/>
        </w:rPr>
      </w:pPr>
      <w:r w:rsidRPr="0066309F">
        <w:rPr>
          <w:rFonts w:ascii="Arial" w:hAnsi="Arial" w:cs="Arial"/>
        </w:rPr>
        <w:t>REALIZAÇÃO DA DÍVIDA ATIVA: EXECUÇÃO FISCAL E MEDIDA CAUTELAR FISCAL</w:t>
      </w:r>
    </w:p>
    <w:p w:rsidR="005F63FE" w:rsidRPr="0066309F" w:rsidRDefault="005F63FE">
      <w:pPr>
        <w:pStyle w:val="1"/>
        <w:rPr>
          <w:rFonts w:ascii="Arial" w:hAnsi="Arial" w:cs="Arial"/>
          <w:w w:val="100"/>
        </w:rPr>
      </w:pPr>
      <w:r w:rsidRPr="0066309F">
        <w:rPr>
          <w:rFonts w:ascii="Arial" w:hAnsi="Arial" w:cs="Arial"/>
          <w:w w:val="100"/>
        </w:rPr>
        <w:t>Questões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1.</w:t>
      </w:r>
      <w:r w:rsidRPr="0066309F">
        <w:rPr>
          <w:rFonts w:ascii="Arial" w:hAnsi="Arial" w:cs="Arial"/>
        </w:rPr>
        <w:tab/>
        <w:t>Qual a natureza jurídica da execução fiscal e da medida cautelar fiscal? Identificar o fundamento e os requisitos legais da medida cautelar fiscal, bem como apontar qual o momento oportuno para a sua propositura. (Vide anexo 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2.</w:t>
      </w:r>
      <w:r w:rsidRPr="0066309F">
        <w:rPr>
          <w:rFonts w:ascii="Arial" w:hAnsi="Arial" w:cs="Arial"/>
        </w:rPr>
        <w:tab/>
        <w:t>Com relação ao instrumento constritivo do patrimônio do contribui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 xml:space="preserve">te-devedor previsto no art. 185-A do CTN (conhecido como penhora </w:t>
      </w:r>
      <w:r w:rsidRPr="0066309F">
        <w:rPr>
          <w:rFonts w:ascii="Arial" w:hAnsi="Arial" w:cs="Arial"/>
          <w:i/>
          <w:iCs/>
        </w:rPr>
        <w:t>“on line”</w:t>
      </w:r>
      <w:r w:rsidRPr="0066309F">
        <w:rPr>
          <w:rFonts w:ascii="Arial" w:hAnsi="Arial" w:cs="Arial"/>
        </w:rPr>
        <w:t>). Pergunta-se: (i) Qual sua natureza jurídica? Trata-se de espécie de penhora ou de medida cautelar satisfativa? (ii) A decr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tação da indisponibilidade a que se refere o art. 185-A do CTN é fato jurídico suficiente à abertura de prazo para apresentação de e</w:t>
      </w:r>
      <w:r w:rsidRPr="0066309F">
        <w:rPr>
          <w:rFonts w:ascii="Arial" w:hAnsi="Arial" w:cs="Arial"/>
        </w:rPr>
        <w:t>m</w:t>
      </w:r>
      <w:r w:rsidRPr="0066309F">
        <w:rPr>
          <w:rFonts w:ascii="Arial" w:hAnsi="Arial" w:cs="Arial"/>
        </w:rPr>
        <w:t>bargos? (iii) Quais seus pressupostos e limites legais? É necessária demonstração por parte da Fazenda de que inexiste outros bens capazes de garantir a dívida? Ou aplica-se o art. 655-A do CPC? (Vide anexo 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3.</w:t>
      </w:r>
      <w:r w:rsidRPr="0066309F">
        <w:rPr>
          <w:rFonts w:ascii="Arial" w:hAnsi="Arial" w:cs="Arial"/>
        </w:rPr>
        <w:tab/>
        <w:t>O administrador, quando chamado para responder pelo débito tr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butário com fundamento no art. 135 do CTN, deve integrar o pr</w:t>
      </w:r>
      <w:r w:rsidRPr="0066309F">
        <w:rPr>
          <w:rFonts w:ascii="Arial" w:hAnsi="Arial" w:cs="Arial"/>
        </w:rPr>
        <w:t>o</w:t>
      </w:r>
      <w:r w:rsidRPr="0066309F">
        <w:rPr>
          <w:rFonts w:ascii="Arial" w:hAnsi="Arial" w:cs="Arial"/>
        </w:rPr>
        <w:t>cesso administrativo tributário? (Vide anexo III). Se não integrar (o processo administrativo), qual o fundamento legal para que haja a cobrança (redirecionamento) e em que prazo ela deve ser efetuada? (Vide anexo IV).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4.</w:t>
      </w:r>
      <w:r w:rsidRPr="0066309F">
        <w:rPr>
          <w:rFonts w:ascii="Arial" w:hAnsi="Arial" w:cs="Arial"/>
        </w:rPr>
        <w:tab/>
        <w:t>A CDA que instrui a petição inicial do executivo fiscal pode ser ret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ficada quantas vezes bem entender o Fisco? Quais vícios fund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 xml:space="preserve">mentam sua retificação? Até que momento a CDA pode ser alterada? </w:t>
      </w:r>
      <w:r w:rsidRPr="0066309F">
        <w:rPr>
          <w:rFonts w:ascii="Arial" w:hAnsi="Arial" w:cs="Arial"/>
        </w:rPr>
        <w:lastRenderedPageBreak/>
        <w:t>(Vide anexos V e VI).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5.</w:t>
      </w:r>
      <w:r w:rsidRPr="0066309F">
        <w:rPr>
          <w:rFonts w:ascii="Arial" w:hAnsi="Arial" w:cs="Arial"/>
        </w:rPr>
        <w:tab/>
        <w:t>Considerando as alterações relativas ao processo de execução tr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zidas pela Lei n. 11.382, de 6 de dezembro de 2006, pergunta-se: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(a) Aplicam-se os artigos 738 e 739-A do Código de Processo Civil nos processos de Execução Fiscal? (Vide anexos VII e VIII);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(b) Na execução fiscal, ao executado ainda persiste o direito de, no prazo de 5 dias da sua citação, “garantir a execução”? Justifique sua resposta.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6.</w:t>
      </w:r>
      <w:r w:rsidRPr="0066309F">
        <w:rPr>
          <w:rFonts w:ascii="Arial" w:hAnsi="Arial" w:cs="Arial"/>
        </w:rPr>
        <w:tab/>
        <w:t>Diferencie fiança bancária e seguro garantia na substituição da p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nhora (vide modificação da LEF pela Lei n. 13.043/14 e anexo IX). Qual é a ordem preferencial para penhora na execução fiscal, a prevista no art. 11 da Lei n. 6.830/80 ou a prevista no art. 655 do CPC, com a redação dada pela Lei n. 11.382, de 6 de dezembro de 2006? Justifique sua resposta. (Vide anexo X).</w:t>
      </w:r>
    </w:p>
    <w:p w:rsidR="005F63FE" w:rsidRPr="0066309F" w:rsidRDefault="005F63FE">
      <w:pPr>
        <w:pStyle w:val="texto"/>
        <w:rPr>
          <w:rFonts w:ascii="Arial" w:hAnsi="Arial" w:cs="Arial"/>
        </w:rPr>
      </w:pPr>
      <w:r w:rsidRPr="0066309F">
        <w:rPr>
          <w:rFonts w:ascii="Arial" w:hAnsi="Arial" w:cs="Arial"/>
        </w:rPr>
        <w:br w:type="page"/>
      </w:r>
    </w:p>
    <w:p w:rsidR="005F63FE" w:rsidRPr="0066309F" w:rsidRDefault="005F63FE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66309F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66309F">
        <w:rPr>
          <w:rFonts w:ascii="Arial" w:hAnsi="Arial" w:cs="Arial"/>
          <w:b/>
          <w:bCs/>
          <w:sz w:val="48"/>
          <w:szCs w:val="48"/>
        </w:rPr>
        <w:t>V</w:t>
      </w:r>
    </w:p>
    <w:p w:rsidR="005F63FE" w:rsidRPr="0066309F" w:rsidRDefault="005F63FE">
      <w:pPr>
        <w:pStyle w:val="seminrio1"/>
        <w:rPr>
          <w:rFonts w:ascii="Arial" w:hAnsi="Arial" w:cs="Arial"/>
          <w:sz w:val="34"/>
          <w:szCs w:val="34"/>
        </w:rPr>
      </w:pPr>
      <w:r w:rsidRPr="0066309F">
        <w:rPr>
          <w:rFonts w:ascii="Arial" w:hAnsi="Arial" w:cs="Arial"/>
          <w:sz w:val="34"/>
          <w:szCs w:val="34"/>
        </w:rPr>
        <w:t>IPI E IOF</w:t>
      </w:r>
    </w:p>
    <w:p w:rsidR="005F63FE" w:rsidRPr="0066309F" w:rsidRDefault="005F63FE">
      <w:pPr>
        <w:pStyle w:val="1"/>
        <w:rPr>
          <w:rFonts w:ascii="Arial" w:hAnsi="Arial" w:cs="Arial"/>
          <w:w w:val="100"/>
        </w:rPr>
      </w:pPr>
      <w:r w:rsidRPr="0066309F">
        <w:rPr>
          <w:rFonts w:ascii="Arial" w:hAnsi="Arial" w:cs="Arial"/>
          <w:w w:val="100"/>
        </w:rPr>
        <w:t>Questões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1.</w:t>
      </w:r>
      <w:r w:rsidRPr="0066309F">
        <w:rPr>
          <w:rFonts w:ascii="Arial" w:hAnsi="Arial" w:cs="Arial"/>
        </w:rPr>
        <w:tab/>
        <w:t>Construir a(s) regra(s)-matriz(es) de incidência tributária do IPI.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2.</w:t>
      </w:r>
      <w:r w:rsidRPr="0066309F">
        <w:rPr>
          <w:rFonts w:ascii="Arial" w:hAnsi="Arial" w:cs="Arial"/>
        </w:rPr>
        <w:tab/>
      </w:r>
      <w:r w:rsidRPr="0066309F">
        <w:rPr>
          <w:rFonts w:ascii="Arial" w:hAnsi="Arial" w:cs="Arial"/>
          <w:lang w:bidi="ar-YE"/>
        </w:rPr>
        <w:t>É</w:t>
      </w:r>
      <w:r w:rsidRPr="0066309F">
        <w:rPr>
          <w:rFonts w:ascii="Arial" w:hAnsi="Arial" w:cs="Arial"/>
          <w:rtl/>
          <w:lang w:bidi="ar-YE"/>
        </w:rPr>
        <w:t xml:space="preserve"> </w:t>
      </w:r>
      <w:r w:rsidRPr="0066309F">
        <w:rPr>
          <w:rFonts w:ascii="Arial" w:hAnsi="Arial" w:cs="Arial"/>
          <w:lang w:bidi="ar-YE"/>
        </w:rPr>
        <w:t>possível o aproveitamento de créditos de IPI decorrentes da aqu</w:t>
      </w:r>
      <w:r w:rsidRPr="0066309F">
        <w:rPr>
          <w:rFonts w:ascii="Arial" w:hAnsi="Arial" w:cs="Arial"/>
          <w:lang w:bidi="ar-YE"/>
        </w:rPr>
        <w:t>i</w:t>
      </w:r>
      <w:r w:rsidRPr="0066309F">
        <w:rPr>
          <w:rFonts w:ascii="Arial" w:hAnsi="Arial" w:cs="Arial"/>
          <w:lang w:bidi="ar-YE"/>
        </w:rPr>
        <w:t>sição de insumos com alíquota zero ou imunes? Se possível este</w:t>
      </w:r>
      <w:r w:rsidRPr="0066309F">
        <w:rPr>
          <w:rFonts w:ascii="Arial" w:hAnsi="Arial" w:cs="Arial"/>
        </w:rPr>
        <w:t xml:space="preserve"> crédito, como quantificá-lo? (Vide anexos I e II). Os materiais co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>sumidos no processo de produção mas que não são agregados d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retamente ao produto final geram créditos do IPI? E os bens adqu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ridos para ativo permanente? E os materiais de teste ou protótipos? (Vide anexo III).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3.</w:t>
      </w:r>
      <w:r w:rsidRPr="0066309F">
        <w:rPr>
          <w:rFonts w:ascii="Arial" w:hAnsi="Arial" w:cs="Arial"/>
        </w:rPr>
        <w:tab/>
        <w:t>Qual a relevância das classificações fiscais para a determinação da incidência do IPI? Discorrer sobre os seus critérios de solução para efeitos de problemas de classificação fiscal. Responda comentando qual a classificação correta para Tablets (se 8471.30.12 ou 8471.3019), justificando com base nos critérios de solução identif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cados. (Vide anexo IV).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4.</w:t>
      </w:r>
      <w:r w:rsidRPr="0066309F">
        <w:rPr>
          <w:rFonts w:ascii="Arial" w:hAnsi="Arial" w:cs="Arial"/>
        </w:rPr>
        <w:tab/>
        <w:t>O princípio constitucional da seletividade em razão da essencialidade do produto constitui uma faculdade ou um dever direcionado ao l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gislador da pessoa política competente? O Poder Judiciário poderá corrigir eventuais distorções? Poderão as alíquotas do IPI variar conforme a etapa da circulação ou destinação do produto? (Vide anexo V).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5.</w:t>
      </w:r>
      <w:r w:rsidRPr="0066309F">
        <w:rPr>
          <w:rFonts w:ascii="Arial" w:hAnsi="Arial" w:cs="Arial"/>
        </w:rPr>
        <w:tab/>
        <w:t xml:space="preserve">A empresa Tudex Ltda é uma indústria que produz máquinas e equipamentos. No meio de seu processo de produção, envia seus produtos a outra empresa, Galvanomix Ltda, para que esta efetue a galvanização desses produtos. Feita a galvanização, os produtos </w:t>
      </w:r>
      <w:r w:rsidRPr="0066309F">
        <w:rPr>
          <w:rFonts w:ascii="Arial" w:hAnsi="Arial" w:cs="Arial"/>
        </w:rPr>
        <w:lastRenderedPageBreak/>
        <w:t>voltam à linha de produção da Tudex, onde esta concluirá seu pr</w:t>
      </w:r>
      <w:r w:rsidRPr="0066309F">
        <w:rPr>
          <w:rFonts w:ascii="Arial" w:hAnsi="Arial" w:cs="Arial"/>
        </w:rPr>
        <w:t>o</w:t>
      </w:r>
      <w:r w:rsidRPr="0066309F">
        <w:rPr>
          <w:rFonts w:ascii="Arial" w:hAnsi="Arial" w:cs="Arial"/>
        </w:rPr>
        <w:t>cesso de produção e, posteriormente os venderá aos consumidores finais. Pergunta-se: a atividade realizada pela Galvanomix é uma industrialização por encomenda ou prestação de serviço? Incidirá ISS, IPI ou ISS e IPI? Justifique (vide anexos VI, VII e VIII).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6.</w:t>
      </w:r>
      <w:r w:rsidRPr="0066309F">
        <w:rPr>
          <w:rFonts w:ascii="Arial" w:hAnsi="Arial" w:cs="Arial"/>
        </w:rPr>
        <w:tab/>
        <w:t>Construir as regra(s)-matriz(es) de incidência tributária do IOF.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7.</w:t>
      </w:r>
      <w:r w:rsidRPr="0066309F">
        <w:rPr>
          <w:rFonts w:ascii="Arial" w:hAnsi="Arial" w:cs="Arial"/>
        </w:rPr>
        <w:tab/>
        <w:t>Determinada pessoa jurídica “X”, pertencente a um grupo de e</w:t>
      </w:r>
      <w:r w:rsidRPr="0066309F">
        <w:rPr>
          <w:rFonts w:ascii="Arial" w:hAnsi="Arial" w:cs="Arial"/>
        </w:rPr>
        <w:t>m</w:t>
      </w:r>
      <w:r w:rsidRPr="0066309F">
        <w:rPr>
          <w:rFonts w:ascii="Arial" w:hAnsi="Arial" w:cs="Arial"/>
        </w:rPr>
        <w:t xml:space="preserve">presas “Y”, celebra contrato de mútuo com outras empresas desse mesmo grupo, com a finalidade de obter dinheiro sem recorrer ao mercado financeiro. Pergunta-se: o empréstimo decorrente desse contrato de mútuo configura fato jurídico tributário que enseja a exigência do IOF? É legítima a cobrança de IOF sobre a venda de direitos creditórios realizada por empresas de </w:t>
      </w:r>
      <w:r w:rsidRPr="0066309F">
        <w:rPr>
          <w:rFonts w:ascii="Arial" w:hAnsi="Arial" w:cs="Arial"/>
          <w:i/>
          <w:iCs/>
        </w:rPr>
        <w:t>factoring</w:t>
      </w:r>
      <w:r w:rsidRPr="0066309F">
        <w:rPr>
          <w:rFonts w:ascii="Arial" w:hAnsi="Arial" w:cs="Arial"/>
        </w:rPr>
        <w:t>? (Vide an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xos IX e X).</w:t>
      </w:r>
    </w:p>
    <w:p w:rsidR="00ED7AA0" w:rsidRDefault="00ED7AA0">
      <w:pPr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:rsidR="005F63FE" w:rsidRPr="0066309F" w:rsidRDefault="005F63FE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66309F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66309F">
        <w:rPr>
          <w:rFonts w:ascii="Arial" w:hAnsi="Arial" w:cs="Arial"/>
          <w:b/>
          <w:bCs/>
          <w:sz w:val="48"/>
          <w:szCs w:val="48"/>
        </w:rPr>
        <w:t>VI</w:t>
      </w:r>
    </w:p>
    <w:p w:rsidR="005F63FE" w:rsidRPr="0066309F" w:rsidRDefault="005F63FE">
      <w:pPr>
        <w:pStyle w:val="seminrio1"/>
        <w:rPr>
          <w:rFonts w:ascii="Arial" w:hAnsi="Arial" w:cs="Arial"/>
        </w:rPr>
      </w:pPr>
      <w:r w:rsidRPr="0066309F">
        <w:rPr>
          <w:rFonts w:ascii="Arial" w:hAnsi="Arial" w:cs="Arial"/>
        </w:rPr>
        <w:t>ICMS – SERVIÇOS</w:t>
      </w:r>
    </w:p>
    <w:p w:rsidR="005F63FE" w:rsidRPr="0066309F" w:rsidRDefault="005F63FE">
      <w:pPr>
        <w:pStyle w:val="1"/>
        <w:rPr>
          <w:rFonts w:ascii="Arial" w:hAnsi="Arial" w:cs="Arial"/>
          <w:w w:val="100"/>
        </w:rPr>
      </w:pPr>
      <w:r w:rsidRPr="0066309F">
        <w:rPr>
          <w:rFonts w:ascii="Arial" w:hAnsi="Arial" w:cs="Arial"/>
          <w:w w:val="100"/>
        </w:rPr>
        <w:t>Questões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1.</w:t>
      </w:r>
      <w:r w:rsidRPr="0066309F">
        <w:rPr>
          <w:rFonts w:ascii="Arial" w:hAnsi="Arial" w:cs="Arial"/>
        </w:rPr>
        <w:tab/>
        <w:t>Construir a(s) regra(s)-matriz(es) de incidência tributária do ICMS – Serviços.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2.</w:t>
      </w:r>
      <w:r w:rsidRPr="0066309F">
        <w:rPr>
          <w:rFonts w:ascii="Arial" w:hAnsi="Arial" w:cs="Arial"/>
        </w:rPr>
        <w:tab/>
        <w:t>Que é “prestação de serviços de comunicação”? É possível dete</w:t>
      </w:r>
      <w:r w:rsidRPr="0066309F">
        <w:rPr>
          <w:rFonts w:ascii="Arial" w:hAnsi="Arial" w:cs="Arial"/>
        </w:rPr>
        <w:t>r</w:t>
      </w:r>
      <w:r w:rsidRPr="0066309F">
        <w:rPr>
          <w:rFonts w:ascii="Arial" w:hAnsi="Arial" w:cs="Arial"/>
        </w:rPr>
        <w:t xml:space="preserve">minar esse conceito por meio do texto constitucional? O que pode ser tributado pelo ICMS: (i) a comunicação (onerosa) </w:t>
      </w:r>
      <w:r w:rsidRPr="0066309F">
        <w:rPr>
          <w:rFonts w:ascii="Arial" w:hAnsi="Arial" w:cs="Arial"/>
          <w:u w:val="thick" w:color="000000"/>
        </w:rPr>
        <w:t>efetivamente</w:t>
      </w:r>
      <w:r w:rsidRPr="0066309F">
        <w:rPr>
          <w:rFonts w:ascii="Arial" w:hAnsi="Arial" w:cs="Arial"/>
        </w:rPr>
        <w:t xml:space="preserve"> re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lizada, ou; (ii) a mera disponibilidade (onerosa) de meios fís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cos/canais aptos que possibilitem que a comunicação aconteça? (Vide anexos I e 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3.</w:t>
      </w:r>
      <w:r w:rsidRPr="0066309F">
        <w:rPr>
          <w:rFonts w:ascii="Arial" w:hAnsi="Arial" w:cs="Arial"/>
        </w:rPr>
        <w:tab/>
        <w:t>Responda justificadamente se há incidência do ICMS sobre as s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guintes modalidades de serviço de comunicação: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(i) Serviços relacionados a telefonia (serviços de habilitação, inst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lação, disponibilidade, cadastro de usuário e equipamento, entre outros serviços, que configurem atividade-meio ou serviços supl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mentares (vide anexo III);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(ii) “Assinatura telefônica”;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(iii) VoIP (VoIP-VoIP e VoIP – linha telefônica);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(iii) Serviços prestados pelas TVs por assinatura (vide anexo IV);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(iv) Provedor de acesso a internet (vide anexo V);</w:t>
      </w:r>
    </w:p>
    <w:p w:rsidR="005F63FE" w:rsidRPr="0066309F" w:rsidRDefault="005F63FE">
      <w:pPr>
        <w:pStyle w:val="10"/>
        <w:rPr>
          <w:rFonts w:ascii="Arial" w:hAnsi="Arial" w:cs="Arial"/>
          <w:lang w:val="en-US"/>
        </w:rPr>
      </w:pPr>
      <w:r w:rsidRPr="0066309F">
        <w:rPr>
          <w:rFonts w:ascii="Arial" w:hAnsi="Arial" w:cs="Arial"/>
        </w:rPr>
        <w:tab/>
      </w:r>
      <w:r w:rsidRPr="0066309F">
        <w:rPr>
          <w:rFonts w:ascii="Arial" w:hAnsi="Arial" w:cs="Arial"/>
          <w:lang w:val="en-US"/>
        </w:rPr>
        <w:t>(v) Pay-per-view e download de filmes.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4.</w:t>
      </w:r>
      <w:r w:rsidRPr="0066309F">
        <w:rPr>
          <w:rFonts w:ascii="Arial" w:hAnsi="Arial" w:cs="Arial"/>
        </w:rPr>
        <w:tab/>
        <w:t>Que é “prestação de serviços de transporte”? Quais suas modal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dades? É necessária a efetividade da prestação de serviços para que o ICMS incida? Analisar a tributação de transporte aéreo de pass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geiros e cargas.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lastRenderedPageBreak/>
        <w:t>5.</w:t>
      </w:r>
      <w:r w:rsidRPr="0066309F">
        <w:rPr>
          <w:rFonts w:ascii="Arial" w:hAnsi="Arial" w:cs="Arial"/>
        </w:rPr>
        <w:tab/>
        <w:t>Empresa de transporte internacional, contratada para trazer doc</w:t>
      </w:r>
      <w:r w:rsidRPr="0066309F">
        <w:rPr>
          <w:rFonts w:ascii="Arial" w:hAnsi="Arial" w:cs="Arial"/>
        </w:rPr>
        <w:t>u</w:t>
      </w:r>
      <w:r w:rsidRPr="0066309F">
        <w:rPr>
          <w:rFonts w:ascii="Arial" w:hAnsi="Arial" w:cs="Arial"/>
        </w:rPr>
        <w:t>mentos do exterior, subcontrata empresa brasileira que efetive o transporte da entrada do documento em território nacional até o destinatário local. Pergunta-se: (a) tal operação pode ser desme</w:t>
      </w:r>
      <w:r w:rsidRPr="0066309F">
        <w:rPr>
          <w:rFonts w:ascii="Arial" w:hAnsi="Arial" w:cs="Arial"/>
        </w:rPr>
        <w:t>m</w:t>
      </w:r>
      <w:r w:rsidRPr="0066309F">
        <w:rPr>
          <w:rFonts w:ascii="Arial" w:hAnsi="Arial" w:cs="Arial"/>
        </w:rPr>
        <w:t>brada para fins de tributação pelo ICMS? (b) se positiva a resposta, qual seria o sujeito passivo da relação tributária? (Vide anexo VI).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6.</w:t>
      </w:r>
      <w:r w:rsidRPr="0066309F">
        <w:rPr>
          <w:rFonts w:ascii="Arial" w:hAnsi="Arial" w:cs="Arial"/>
        </w:rPr>
        <w:tab/>
        <w:t>Prestadora de serviço de transporte é contratada para efetuar transporte de mercadoria de estabelecimento localizado em Osa</w:t>
      </w:r>
      <w:r w:rsidRPr="0066309F">
        <w:rPr>
          <w:rFonts w:ascii="Arial" w:hAnsi="Arial" w:cs="Arial"/>
        </w:rPr>
        <w:t>s</w:t>
      </w:r>
      <w:r w:rsidRPr="0066309F">
        <w:rPr>
          <w:rFonts w:ascii="Arial" w:hAnsi="Arial" w:cs="Arial"/>
        </w:rPr>
        <w:t xml:space="preserve">co/SP para uma </w:t>
      </w:r>
      <w:r w:rsidRPr="0066309F">
        <w:rPr>
          <w:rFonts w:ascii="Arial" w:hAnsi="Arial" w:cs="Arial"/>
          <w:i/>
          <w:iCs/>
        </w:rPr>
        <w:t>trading</w:t>
      </w:r>
      <w:r w:rsidRPr="0066309F">
        <w:rPr>
          <w:rFonts w:ascii="Arial" w:hAnsi="Arial" w:cs="Arial"/>
        </w:rPr>
        <w:t xml:space="preserve"> estabelecida em São Bernardo do Ca</w:t>
      </w:r>
      <w:r w:rsidRPr="0066309F">
        <w:rPr>
          <w:rFonts w:ascii="Arial" w:hAnsi="Arial" w:cs="Arial"/>
        </w:rPr>
        <w:t>m</w:t>
      </w:r>
      <w:r w:rsidRPr="0066309F">
        <w:rPr>
          <w:rFonts w:ascii="Arial" w:hAnsi="Arial" w:cs="Arial"/>
        </w:rPr>
        <w:t>po/SP. O destino final da mercadoria transportada é a exportação. Com base no artigo 150, parágrafo 2</w:t>
      </w:r>
      <w:r w:rsidRPr="0066309F">
        <w:rPr>
          <w:rFonts w:ascii="Arial" w:hAnsi="Arial" w:cs="Arial"/>
          <w:strike/>
          <w:lang w:bidi="ar-YE"/>
        </w:rPr>
        <w:t>º</w:t>
      </w:r>
      <w:r w:rsidRPr="0066309F">
        <w:rPr>
          <w:rFonts w:ascii="Arial" w:hAnsi="Arial" w:cs="Arial"/>
        </w:rPr>
        <w:t>, X, “a” da CF/88 e parágrafo único do artigo 3</w:t>
      </w:r>
      <w:r w:rsidRPr="0066309F">
        <w:rPr>
          <w:rFonts w:ascii="Arial" w:hAnsi="Arial" w:cs="Arial"/>
          <w:strike/>
          <w:lang w:bidi="ar-YE"/>
        </w:rPr>
        <w:t>º</w:t>
      </w:r>
      <w:r w:rsidRPr="0066309F">
        <w:rPr>
          <w:rFonts w:ascii="Arial" w:hAnsi="Arial" w:cs="Arial"/>
        </w:rPr>
        <w:t xml:space="preserve"> da LC 87/96, o Fisco paulista entende que nesse trajeto interno há imunidade do ICMS somente com relação à op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ração de circulação das mercadorias transportadas e não para o ICMS relativo à prestação de serviços de transporte. Você concorda com esse entendimento? (Vide anexos VII e VIII).</w:t>
      </w:r>
    </w:p>
    <w:p w:rsidR="005F63FE" w:rsidRPr="00CF790E" w:rsidRDefault="008F52C2">
      <w:pPr>
        <w:pStyle w:val="texto"/>
        <w:rPr>
          <w:rFonts w:ascii="Courier New" w:hAnsi="Courier New" w:cs="Courier New"/>
        </w:rPr>
      </w:pPr>
      <w:r w:rsidRPr="00CF790E">
        <w:rPr>
          <w:rFonts w:ascii="Courier New" w:hAnsi="Courier New" w:cs="Courier New"/>
        </w:rPr>
        <w:br w:type="page"/>
      </w:r>
    </w:p>
    <w:p w:rsidR="005F63FE" w:rsidRPr="0066309F" w:rsidRDefault="005F63FE">
      <w:pPr>
        <w:pStyle w:val="Semestilodepargrafo"/>
        <w:tabs>
          <w:tab w:val="right" w:leader="dot" w:pos="5954"/>
        </w:tabs>
        <w:spacing w:after="227"/>
        <w:jc w:val="center"/>
        <w:rPr>
          <w:rFonts w:ascii="Arial" w:hAnsi="Arial" w:cs="Arial"/>
          <w:sz w:val="48"/>
          <w:szCs w:val="48"/>
        </w:rPr>
      </w:pPr>
      <w:r w:rsidRPr="0066309F">
        <w:rPr>
          <w:rFonts w:ascii="Arial" w:hAnsi="Arial" w:cs="Arial"/>
          <w:b/>
          <w:bCs/>
          <w:sz w:val="44"/>
          <w:szCs w:val="44"/>
        </w:rPr>
        <w:lastRenderedPageBreak/>
        <w:t xml:space="preserve">Seminário </w:t>
      </w:r>
      <w:r w:rsidRPr="0066309F">
        <w:rPr>
          <w:rFonts w:ascii="Arial" w:hAnsi="Arial" w:cs="Arial"/>
          <w:b/>
          <w:bCs/>
          <w:sz w:val="48"/>
          <w:szCs w:val="48"/>
        </w:rPr>
        <w:t>VII</w:t>
      </w:r>
    </w:p>
    <w:p w:rsidR="005F63FE" w:rsidRPr="0066309F" w:rsidRDefault="005F63FE">
      <w:pPr>
        <w:pStyle w:val="seminrio1"/>
        <w:suppressAutoHyphens/>
        <w:rPr>
          <w:rFonts w:ascii="Arial" w:hAnsi="Arial" w:cs="Arial"/>
        </w:rPr>
      </w:pPr>
      <w:r w:rsidRPr="0066309F">
        <w:rPr>
          <w:rFonts w:ascii="Arial" w:hAnsi="Arial" w:cs="Arial"/>
        </w:rPr>
        <w:t>IMPOSTO SOBRE A RENDA</w:t>
      </w:r>
      <w:r w:rsidRPr="0066309F">
        <w:rPr>
          <w:rFonts w:ascii="Arial" w:hAnsi="Arial" w:cs="Arial"/>
        </w:rPr>
        <w:br/>
        <w:t>PESSOA JURÍDICA</w:t>
      </w:r>
    </w:p>
    <w:p w:rsidR="005F63FE" w:rsidRPr="0066309F" w:rsidRDefault="005F63FE">
      <w:pPr>
        <w:pStyle w:val="1"/>
        <w:rPr>
          <w:rFonts w:ascii="Arial" w:hAnsi="Arial" w:cs="Arial"/>
          <w:w w:val="100"/>
        </w:rPr>
      </w:pPr>
      <w:r w:rsidRPr="0066309F">
        <w:rPr>
          <w:rFonts w:ascii="Arial" w:hAnsi="Arial" w:cs="Arial"/>
          <w:w w:val="100"/>
        </w:rPr>
        <w:t>Questões</w:t>
      </w:r>
    </w:p>
    <w:p w:rsidR="005F63FE" w:rsidRPr="0066309F" w:rsidRDefault="005F63FE">
      <w:pPr>
        <w:pStyle w:val="QUESTES"/>
        <w:rPr>
          <w:rFonts w:ascii="Arial" w:hAnsi="Arial" w:cs="Arial"/>
        </w:rPr>
      </w:pPr>
      <w:r w:rsidRPr="0066309F">
        <w:rPr>
          <w:rFonts w:ascii="Arial" w:hAnsi="Arial" w:cs="Arial"/>
        </w:rPr>
        <w:t>1.</w:t>
      </w:r>
      <w:r w:rsidRPr="0066309F">
        <w:rPr>
          <w:rFonts w:ascii="Arial" w:hAnsi="Arial" w:cs="Arial"/>
        </w:rPr>
        <w:tab/>
        <w:t>Pode-se depreender o conceito de renda diretamente da Constitu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ção Federal? Caso isso não seja possível, poderia então a lei co</w:t>
      </w:r>
      <w:r w:rsidRPr="0066309F">
        <w:rPr>
          <w:rFonts w:ascii="Arial" w:hAnsi="Arial" w:cs="Arial"/>
        </w:rPr>
        <w:t>m</w:t>
      </w:r>
      <w:r w:rsidRPr="0066309F">
        <w:rPr>
          <w:rFonts w:ascii="Arial" w:hAnsi="Arial" w:cs="Arial"/>
        </w:rPr>
        <w:t>plementar fixar um conceito livre de renda ou atribuir ao legislador ordinário a sua fixação? (Vide anexo 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2.</w:t>
      </w:r>
      <w:r w:rsidRPr="0066309F">
        <w:rPr>
          <w:rFonts w:ascii="Arial" w:hAnsi="Arial" w:cs="Arial"/>
        </w:rPr>
        <w:tab/>
        <w:t xml:space="preserve">A Lei Complementar n. 104/2001 acrescentou um parágrafo segundo ao artigo 43 do CTN, dispondo </w:t>
      </w:r>
      <w:r w:rsidRPr="0066309F">
        <w:rPr>
          <w:rFonts w:ascii="Arial" w:hAnsi="Arial" w:cs="Arial"/>
          <w:i/>
          <w:iCs/>
        </w:rPr>
        <w:t>“que na hipótese de receita ou de rendimento oriundos do exterior, a lei estabelecerá as condições e o momento em que se dará sua disponibilidade, para fins de incidência do imposto...”</w:t>
      </w:r>
      <w:r w:rsidRPr="0066309F">
        <w:rPr>
          <w:rFonts w:ascii="Arial" w:hAnsi="Arial" w:cs="Arial"/>
        </w:rPr>
        <w:t>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ab/>
        <w:t>Indaga-se: o regime de tributação em bases universais abrangendo as controladas e coligadas no exterior nos moldes em que prescrito pela Lei 12.973/2014 está de acordo com o ordenamento jurídico? Considerar em sua resposta a manifestação do STF a respeito do tema. (Vide anexos II e III).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3.</w:t>
      </w:r>
      <w:r w:rsidRPr="0066309F">
        <w:rPr>
          <w:rFonts w:ascii="Arial" w:hAnsi="Arial" w:cs="Arial"/>
        </w:rPr>
        <w:tab/>
        <w:t>Quais as formas de apuração e de recolhimento do IRPJ determ</w:t>
      </w:r>
      <w:r w:rsidRPr="0066309F">
        <w:rPr>
          <w:rFonts w:ascii="Arial" w:hAnsi="Arial" w:cs="Arial"/>
        </w:rPr>
        <w:t>i</w:t>
      </w:r>
      <w:r w:rsidRPr="0066309F">
        <w:rPr>
          <w:rFonts w:ascii="Arial" w:hAnsi="Arial" w:cs="Arial"/>
        </w:rPr>
        <w:t>nados pelo legislador ordinário? Diferencie-as.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4.</w:t>
      </w:r>
      <w:r w:rsidRPr="0066309F">
        <w:rPr>
          <w:rFonts w:ascii="Arial" w:hAnsi="Arial" w:cs="Arial"/>
        </w:rPr>
        <w:tab/>
        <w:t>A determinação do registro contábil de negócios segundo a primazia da substância econômica sobre a forma jurídica, realizada segundo as regras do IFRS (Lei n. 11.638/2007) tem implicações relevantes na apuração do IRPJ? O advento da Lei n. 12.973/14, a qual exti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 xml:space="preserve">guiu o RTT (Regime Tributário de Transição), implica a alteração da base de cálculo do IRPJ, para que esta seja tomada a partir dos valores registrados contabilmente e consideradas as alterações em </w:t>
      </w:r>
      <w:r w:rsidRPr="0066309F">
        <w:rPr>
          <w:rFonts w:ascii="Arial" w:hAnsi="Arial" w:cs="Arial"/>
        </w:rPr>
        <w:lastRenderedPageBreak/>
        <w:t>tais lançamentos determinadas pela Lei n. 11.638/2007?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5.</w:t>
      </w:r>
      <w:r w:rsidRPr="0066309F">
        <w:rPr>
          <w:rFonts w:ascii="Arial" w:hAnsi="Arial" w:cs="Arial"/>
        </w:rPr>
        <w:tab/>
        <w:t>Existe diferença entre a contagem do prazo decadencial para o lançamento de um valor de imposto de renda apurado pelo lucro real trimestral e pelo lucro real anual? E como se dá a contagem dec</w:t>
      </w:r>
      <w:r w:rsidRPr="0066309F">
        <w:rPr>
          <w:rFonts w:ascii="Arial" w:hAnsi="Arial" w:cs="Arial"/>
        </w:rPr>
        <w:t>a</w:t>
      </w:r>
      <w:r w:rsidRPr="0066309F">
        <w:rPr>
          <w:rFonts w:ascii="Arial" w:hAnsi="Arial" w:cs="Arial"/>
        </w:rPr>
        <w:t>dencial para lançamento de valores de IRRF?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6.</w:t>
      </w:r>
      <w:r w:rsidRPr="0066309F">
        <w:rPr>
          <w:rFonts w:ascii="Arial" w:hAnsi="Arial" w:cs="Arial"/>
        </w:rPr>
        <w:tab/>
        <w:t>Que significa a expressão “preços de transferência” e qual sua fu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>ção? O que é o princípio “arm’s lenght” aplicado pelo fisco no Brasil? Foi positivado no Brasil pela Lei 9.430/96 e alterações posteriores? Comente sobre a possibilidade de aplicação coercitiva deste co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>ceito. (Vide anexo IV).</w:t>
      </w:r>
    </w:p>
    <w:p w:rsidR="005F63FE" w:rsidRPr="0066309F" w:rsidRDefault="005F63FE">
      <w:pPr>
        <w:pStyle w:val="10"/>
        <w:rPr>
          <w:rFonts w:ascii="Arial" w:hAnsi="Arial" w:cs="Arial"/>
        </w:rPr>
      </w:pPr>
      <w:r w:rsidRPr="0066309F">
        <w:rPr>
          <w:rFonts w:ascii="Arial" w:hAnsi="Arial" w:cs="Arial"/>
        </w:rPr>
        <w:t>7.</w:t>
      </w:r>
      <w:r w:rsidRPr="0066309F">
        <w:rPr>
          <w:rFonts w:ascii="Arial" w:hAnsi="Arial" w:cs="Arial"/>
        </w:rPr>
        <w:tab/>
        <w:t>A legislação do imposto de renda prescreve que a compensação dos prejuízos fiscais apurados são limitados à denominada trava de 30%. Por outro lado, regula ainda a forma com que o direito à compe</w:t>
      </w:r>
      <w:r w:rsidRPr="0066309F">
        <w:rPr>
          <w:rFonts w:ascii="Arial" w:hAnsi="Arial" w:cs="Arial"/>
        </w:rPr>
        <w:t>n</w:t>
      </w:r>
      <w:r w:rsidRPr="0066309F">
        <w:rPr>
          <w:rFonts w:ascii="Arial" w:hAnsi="Arial" w:cs="Arial"/>
        </w:rPr>
        <w:t>sação subsiste, especialmente em face de eventos de cisão, inco</w:t>
      </w:r>
      <w:r w:rsidRPr="0066309F">
        <w:rPr>
          <w:rFonts w:ascii="Arial" w:hAnsi="Arial" w:cs="Arial"/>
        </w:rPr>
        <w:t>r</w:t>
      </w:r>
      <w:r w:rsidRPr="0066309F">
        <w:rPr>
          <w:rFonts w:ascii="Arial" w:hAnsi="Arial" w:cs="Arial"/>
        </w:rPr>
        <w:t>poração ou fusão de sociedades. Indaga-se: é cabível a denominada “incorporação reversa” ou “incorporação às avessas”, isto é, a op</w:t>
      </w:r>
      <w:r w:rsidRPr="0066309F">
        <w:rPr>
          <w:rFonts w:ascii="Arial" w:hAnsi="Arial" w:cs="Arial"/>
        </w:rPr>
        <w:t>e</w:t>
      </w:r>
      <w:r w:rsidRPr="0066309F">
        <w:rPr>
          <w:rFonts w:ascii="Arial" w:hAnsi="Arial" w:cs="Arial"/>
        </w:rPr>
        <w:t>ração em que figura como incorporadora a sociedade detentora de prejuízos fiscais, realizada justamente para que estes não se pe</w:t>
      </w:r>
      <w:r w:rsidRPr="0066309F">
        <w:rPr>
          <w:rFonts w:ascii="Arial" w:hAnsi="Arial" w:cs="Arial"/>
        </w:rPr>
        <w:t>r</w:t>
      </w:r>
      <w:r w:rsidRPr="0066309F">
        <w:rPr>
          <w:rFonts w:ascii="Arial" w:hAnsi="Arial" w:cs="Arial"/>
        </w:rPr>
        <w:t>cam? Dito de outra forma, essa espécie de planejamento é lícita? (Vide anexos V e VI).</w:t>
      </w:r>
    </w:p>
    <w:sectPr w:rsidR="005F63FE" w:rsidRPr="0066309F" w:rsidSect="009A71CC">
      <w:pgSz w:w="8392" w:h="11907" w:code="11"/>
      <w:pgMar w:top="1247" w:right="567" w:bottom="851" w:left="851" w:header="454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4B" w:rsidRDefault="00954B4B">
      <w:pPr>
        <w:spacing w:after="0" w:line="240" w:lineRule="auto"/>
      </w:pPr>
      <w:r>
        <w:separator/>
      </w:r>
    </w:p>
  </w:endnote>
  <w:endnote w:type="continuationSeparator" w:id="0">
    <w:p w:rsidR="00954B4B" w:rsidRDefault="0095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73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CC" w:rsidRDefault="009A71CC" w:rsidP="0066309F">
    <w:pPr>
      <w:pStyle w:val="Rodap"/>
      <w:ind w:right="360"/>
      <w:jc w:val="center"/>
      <w:rPr>
        <w:sz w:val="12"/>
      </w:rPr>
    </w:pPr>
    <w:r>
      <w:rPr>
        <w:sz w:val="12"/>
      </w:rPr>
      <w:t xml:space="preserve">O conteúdo desse material é de propriedade intelectual do </w:t>
    </w:r>
    <w:r>
      <w:rPr>
        <w:b/>
        <w:sz w:val="12"/>
      </w:rPr>
      <w:t>©IBET: é proibida sua utilização, manipulação ou reprodução, por pessoas estranhas e desvinculadas de suas atividades institucionais</w:t>
    </w:r>
    <w:r>
      <w:rPr>
        <w:sz w:val="12"/>
      </w:rPr>
      <w:t xml:space="preserve"> sem a devida, expressa e prévia autorização.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4B" w:rsidRDefault="00954B4B">
      <w:pPr>
        <w:spacing w:after="0" w:line="240" w:lineRule="auto"/>
      </w:pPr>
      <w:r>
        <w:separator/>
      </w:r>
    </w:p>
  </w:footnote>
  <w:footnote w:type="continuationSeparator" w:id="0">
    <w:p w:rsidR="00954B4B" w:rsidRDefault="0095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CC" w:rsidRPr="0011489F" w:rsidRDefault="009A71CC" w:rsidP="0066309F">
    <w:pPr>
      <w:pStyle w:val="Cabealho"/>
      <w:spacing w:after="0" w:line="240" w:lineRule="auto"/>
      <w:jc w:val="right"/>
      <w:rPr>
        <w:rFonts w:ascii="Times New Roman" w:hAnsi="Times New Roman"/>
      </w:rPr>
    </w:pPr>
    <w:r w:rsidRPr="0011489F">
      <w:rPr>
        <w:rFonts w:ascii="Times New Roman" w:hAnsi="Times New Roman"/>
      </w:rPr>
      <w:fldChar w:fldCharType="begin"/>
    </w:r>
    <w:r w:rsidRPr="0011489F">
      <w:rPr>
        <w:rFonts w:ascii="Times New Roman" w:hAnsi="Times New Roman"/>
      </w:rPr>
      <w:instrText>PAGE   \* MERGEFORMAT</w:instrText>
    </w:r>
    <w:r w:rsidRPr="0011489F">
      <w:rPr>
        <w:rFonts w:ascii="Times New Roman" w:hAnsi="Times New Roman"/>
      </w:rPr>
      <w:fldChar w:fldCharType="separate"/>
    </w:r>
    <w:r w:rsidR="00B94044">
      <w:rPr>
        <w:rFonts w:ascii="Times New Roman" w:hAnsi="Times New Roman"/>
        <w:noProof/>
      </w:rPr>
      <w:t>1</w:t>
    </w:r>
    <w:r w:rsidRPr="0011489F">
      <w:rPr>
        <w:rFonts w:ascii="Times New Roman" w:hAnsi="Times New Roman"/>
      </w:rPr>
      <w:fldChar w:fldCharType="end"/>
    </w:r>
  </w:p>
  <w:p w:rsidR="009A71CC" w:rsidRPr="0011489F" w:rsidRDefault="009A71CC" w:rsidP="0066309F">
    <w:pPr>
      <w:pStyle w:val="Cabealho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11489F">
      <w:rPr>
        <w:rFonts w:ascii="Times New Roman" w:hAnsi="Times New Roman"/>
        <w:b/>
        <w:sz w:val="20"/>
        <w:szCs w:val="20"/>
      </w:rPr>
      <w:t>IBET</w:t>
    </w:r>
  </w:p>
  <w:p w:rsidR="009A71CC" w:rsidRPr="0066309F" w:rsidRDefault="009A71CC" w:rsidP="0066309F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11489F">
      <w:rPr>
        <w:rFonts w:ascii="Times New Roman" w:hAnsi="Times New Roman"/>
        <w:sz w:val="20"/>
        <w:szCs w:val="20"/>
      </w:rPr>
      <w:t>Instituto Brasileiro de Estudos Tributários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CC" w:rsidRDefault="009A71CC">
    <w:pPr>
      <w:pStyle w:val="Cabealho"/>
    </w:pPr>
    <w:r>
      <w:rPr>
        <w:noProof/>
      </w:rPr>
      <w:drawing>
        <wp:inline distT="0" distB="0" distL="0" distR="0" wp14:anchorId="40FE53DB" wp14:editId="77E3DDC9">
          <wp:extent cx="1828800" cy="11128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BET - 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974" cy="11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208F"/>
    <w:multiLevelType w:val="hybridMultilevel"/>
    <w:tmpl w:val="A2E00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1F75"/>
    <w:multiLevelType w:val="hybridMultilevel"/>
    <w:tmpl w:val="FE780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39ED"/>
    <w:multiLevelType w:val="hybridMultilevel"/>
    <w:tmpl w:val="EDC07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4468"/>
    <w:multiLevelType w:val="hybridMultilevel"/>
    <w:tmpl w:val="2A627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23BE5"/>
    <w:multiLevelType w:val="hybridMultilevel"/>
    <w:tmpl w:val="1EBC9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47CA"/>
    <w:multiLevelType w:val="hybridMultilevel"/>
    <w:tmpl w:val="A10A6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645EC"/>
    <w:multiLevelType w:val="hybridMultilevel"/>
    <w:tmpl w:val="4B7C6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B608F"/>
    <w:multiLevelType w:val="hybridMultilevel"/>
    <w:tmpl w:val="0C823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E4341"/>
    <w:multiLevelType w:val="hybridMultilevel"/>
    <w:tmpl w:val="D31C7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3730"/>
    <w:multiLevelType w:val="hybridMultilevel"/>
    <w:tmpl w:val="E6388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024FF"/>
    <w:multiLevelType w:val="hybridMultilevel"/>
    <w:tmpl w:val="E8B27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27C17"/>
    <w:multiLevelType w:val="hybridMultilevel"/>
    <w:tmpl w:val="A0D45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72240"/>
    <w:multiLevelType w:val="hybridMultilevel"/>
    <w:tmpl w:val="479EF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15373"/>
    <w:multiLevelType w:val="hybridMultilevel"/>
    <w:tmpl w:val="49E06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795"/>
    <w:multiLevelType w:val="hybridMultilevel"/>
    <w:tmpl w:val="068C9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B0571"/>
    <w:multiLevelType w:val="hybridMultilevel"/>
    <w:tmpl w:val="FCD4E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9018A"/>
    <w:multiLevelType w:val="hybridMultilevel"/>
    <w:tmpl w:val="67E06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94BF1"/>
    <w:multiLevelType w:val="hybridMultilevel"/>
    <w:tmpl w:val="2654C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2540D"/>
    <w:multiLevelType w:val="hybridMultilevel"/>
    <w:tmpl w:val="853AA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6027A"/>
    <w:multiLevelType w:val="hybridMultilevel"/>
    <w:tmpl w:val="7604D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F629D"/>
    <w:multiLevelType w:val="hybridMultilevel"/>
    <w:tmpl w:val="D2385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8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20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FE"/>
    <w:rsid w:val="000C5CCD"/>
    <w:rsid w:val="000F5A2C"/>
    <w:rsid w:val="00153820"/>
    <w:rsid w:val="00175A1C"/>
    <w:rsid w:val="001E7EA8"/>
    <w:rsid w:val="0024319A"/>
    <w:rsid w:val="0027102E"/>
    <w:rsid w:val="00341CB8"/>
    <w:rsid w:val="00395D2F"/>
    <w:rsid w:val="005723A0"/>
    <w:rsid w:val="005F63FE"/>
    <w:rsid w:val="0066309F"/>
    <w:rsid w:val="00716F3B"/>
    <w:rsid w:val="007320B2"/>
    <w:rsid w:val="00773A6A"/>
    <w:rsid w:val="008556ED"/>
    <w:rsid w:val="008666EC"/>
    <w:rsid w:val="00867186"/>
    <w:rsid w:val="008F52C2"/>
    <w:rsid w:val="00954B4B"/>
    <w:rsid w:val="009A71CC"/>
    <w:rsid w:val="00B94044"/>
    <w:rsid w:val="00CF790E"/>
    <w:rsid w:val="00E562B8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tilodepargrafo">
    <w:name w:val="[Sem estilo de parág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seminrio1">
    <w:name w:val="seminário1"/>
    <w:basedOn w:val="Semestilodepargrafo"/>
    <w:uiPriority w:val="99"/>
    <w:pPr>
      <w:tabs>
        <w:tab w:val="right" w:leader="dot" w:pos="5954"/>
      </w:tabs>
      <w:spacing w:after="794" w:line="358" w:lineRule="atLeast"/>
      <w:jc w:val="center"/>
    </w:pPr>
    <w:rPr>
      <w:rFonts w:ascii="Garamond" w:hAnsi="Garamond" w:cs="Garamond"/>
      <w:b/>
      <w:bCs/>
      <w:sz w:val="32"/>
      <w:szCs w:val="32"/>
    </w:rPr>
  </w:style>
  <w:style w:type="paragraph" w:customStyle="1" w:styleId="1">
    <w:name w:val="1"/>
    <w:basedOn w:val="Semestilodepargrafo"/>
    <w:uiPriority w:val="99"/>
    <w:pPr>
      <w:tabs>
        <w:tab w:val="left" w:pos="340"/>
      </w:tabs>
      <w:suppressAutoHyphens/>
      <w:spacing w:before="340" w:after="170" w:line="272" w:lineRule="atLeast"/>
      <w:ind w:left="340" w:hanging="340"/>
    </w:pPr>
    <w:rPr>
      <w:rFonts w:ascii="Century731 BT" w:hAnsi="Century731 BT" w:cs="Century731 BT"/>
      <w:b/>
      <w:bCs/>
      <w:w w:val="90"/>
    </w:rPr>
  </w:style>
  <w:style w:type="paragraph" w:customStyle="1" w:styleId="BOLINHA">
    <w:name w:val="BOLINHA"/>
    <w:basedOn w:val="Semestilodepargrafo"/>
    <w:uiPriority w:val="99"/>
    <w:pPr>
      <w:tabs>
        <w:tab w:val="left" w:pos="198"/>
      </w:tabs>
      <w:spacing w:before="68" w:after="68" w:line="276" w:lineRule="atLeast"/>
      <w:ind w:left="198" w:hanging="198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10">
    <w:name w:val="1)"/>
    <w:basedOn w:val="Semestilodepargrafo"/>
    <w:uiPriority w:val="99"/>
    <w:pPr>
      <w:tabs>
        <w:tab w:val="left" w:pos="283"/>
      </w:tabs>
      <w:spacing w:before="68" w:after="68" w:line="280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anexo">
    <w:name w:val="anexo"/>
    <w:basedOn w:val="1"/>
    <w:next w:val="1"/>
    <w:uiPriority w:val="99"/>
    <w:pPr>
      <w:spacing w:before="0" w:after="57" w:line="300" w:lineRule="atLeast"/>
      <w:jc w:val="center"/>
    </w:pPr>
    <w:rPr>
      <w:caps/>
      <w:sz w:val="28"/>
      <w:szCs w:val="28"/>
    </w:rPr>
  </w:style>
  <w:style w:type="paragraph" w:customStyle="1" w:styleId="ANEXO0">
    <w:name w:val="ANEXO"/>
    <w:basedOn w:val="anexo"/>
    <w:next w:val="anexo"/>
    <w:uiPriority w:val="99"/>
    <w:pPr>
      <w:spacing w:before="397"/>
      <w:ind w:left="0" w:firstLine="0"/>
    </w:pPr>
    <w:rPr>
      <w:caps w:val="0"/>
    </w:rPr>
  </w:style>
  <w:style w:type="paragraph" w:customStyle="1" w:styleId="ANEXO1">
    <w:name w:val="ANEXO1"/>
    <w:basedOn w:val="1"/>
    <w:next w:val="1"/>
    <w:uiPriority w:val="99"/>
    <w:pPr>
      <w:spacing w:before="0" w:after="397"/>
      <w:ind w:left="0" w:firstLine="0"/>
      <w:jc w:val="center"/>
    </w:pPr>
  </w:style>
  <w:style w:type="paragraph" w:customStyle="1" w:styleId="texto">
    <w:name w:val="texto"/>
    <w:basedOn w:val="Semestilodepargrafo"/>
    <w:uiPriority w:val="99"/>
    <w:pPr>
      <w:spacing w:before="68" w:after="68" w:line="276" w:lineRule="atLeast"/>
      <w:ind w:firstLine="567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DJ">
    <w:name w:val="DJ"/>
    <w:basedOn w:val="Semestilodepargrafo"/>
    <w:uiPriority w:val="99"/>
    <w:pPr>
      <w:spacing w:before="68" w:after="170" w:line="276" w:lineRule="atLeast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abrerecuoredondo">
    <w:name w:val="abre recuo redond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meiorecuoredondo">
    <w:name w:val="meio recuo redondo"/>
    <w:basedOn w:val="Semestilodepargrafo"/>
    <w:uiPriority w:val="99"/>
    <w:pPr>
      <w:spacing w:before="57" w:after="57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fecharecuo">
    <w:name w:val="fecha recu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fecharecuoredondo">
    <w:name w:val="fecha recuo redond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Pargrafobsico">
    <w:name w:val="[Parágrafo básico]"/>
    <w:basedOn w:val="Semestilodepargrafo"/>
    <w:uiPriority w:val="99"/>
  </w:style>
  <w:style w:type="paragraph" w:customStyle="1" w:styleId="recuo">
    <w:name w:val="recuo"/>
    <w:basedOn w:val="Pargrafobsico"/>
    <w:uiPriority w:val="99"/>
    <w:pPr>
      <w:spacing w:before="22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recuoredondo">
    <w:name w:val="recuo redondo"/>
    <w:basedOn w:val="recuo"/>
    <w:uiPriority w:val="99"/>
  </w:style>
  <w:style w:type="paragraph" w:customStyle="1" w:styleId="abrerecuo">
    <w:name w:val="abre recu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recuomeio">
    <w:name w:val="recuo meio"/>
    <w:basedOn w:val="Pargrafobsico"/>
    <w:uiPriority w:val="99"/>
    <w:pPr>
      <w:spacing w:before="57" w:after="57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QUESTES">
    <w:name w:val="QUESTÕES"/>
    <w:basedOn w:val="Semestilodepargrafo"/>
    <w:uiPriority w:val="99"/>
    <w:pPr>
      <w:tabs>
        <w:tab w:val="left" w:pos="283"/>
      </w:tabs>
      <w:spacing w:before="57" w:after="57" w:line="272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TEXTO0">
    <w:name w:val="TEXTO"/>
    <w:basedOn w:val="Semestilodepargrafo"/>
    <w:uiPriority w:val="99"/>
    <w:pPr>
      <w:spacing w:before="57" w:after="57" w:line="272" w:lineRule="atLeast"/>
      <w:ind w:firstLine="510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EMENTA">
    <w:name w:val="EMENTA"/>
    <w:basedOn w:val="1"/>
    <w:next w:val="1"/>
    <w:uiPriority w:val="99"/>
    <w:pPr>
      <w:ind w:left="0" w:firstLine="0"/>
      <w:jc w:val="center"/>
    </w:pPr>
    <w:rPr>
      <w:caps/>
      <w:w w:val="100"/>
    </w:rPr>
  </w:style>
  <w:style w:type="paragraph" w:customStyle="1" w:styleId="BIBLIO">
    <w:name w:val="BIBLIO"/>
    <w:basedOn w:val="TEXTO0"/>
    <w:uiPriority w:val="99"/>
    <w:pPr>
      <w:ind w:left="340" w:hanging="340"/>
    </w:pPr>
  </w:style>
  <w:style w:type="paragraph" w:styleId="Textodenotaderodap">
    <w:name w:val="footnote text"/>
    <w:basedOn w:val="Pargrafobsico"/>
    <w:link w:val="TextodenotaderodapChar"/>
    <w:uiPriority w:val="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paragraph" w:customStyle="1" w:styleId="roda">
    <w:name w:val="roda"/>
    <w:basedOn w:val="Textodenotaderodap"/>
    <w:uiPriority w:val="99"/>
    <w:pPr>
      <w:spacing w:before="28" w:after="28" w:line="220" w:lineRule="atLeast"/>
      <w:jc w:val="both"/>
    </w:pPr>
    <w:rPr>
      <w:rFonts w:ascii="Century731 BT" w:hAnsi="Century731 BT" w:cs="Century731 BT"/>
      <w:sz w:val="18"/>
      <w:szCs w:val="18"/>
    </w:rPr>
  </w:style>
  <w:style w:type="paragraph" w:customStyle="1" w:styleId="anexo2">
    <w:name w:val="anexo..."/>
    <w:basedOn w:val="Semestilodepargrafo"/>
    <w:uiPriority w:val="99"/>
    <w:rsid w:val="005F63FE"/>
    <w:pPr>
      <w:tabs>
        <w:tab w:val="decimal" w:leader="dot" w:pos="5669"/>
        <w:tab w:val="right" w:pos="6236"/>
      </w:tabs>
      <w:spacing w:after="57" w:line="262" w:lineRule="atLeast"/>
      <w:ind w:left="227"/>
    </w:pPr>
    <w:rPr>
      <w:rFonts w:ascii="Century731 BT" w:hAnsi="Century731 BT" w:cs="Century731 BT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32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20B2"/>
    <w:rPr>
      <w:rFonts w:cs="Times New Roman"/>
    </w:rPr>
  </w:style>
  <w:style w:type="paragraph" w:styleId="Rodap">
    <w:name w:val="footer"/>
    <w:basedOn w:val="Normal"/>
    <w:link w:val="RodapChar"/>
    <w:unhideWhenUsed/>
    <w:rsid w:val="00732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20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tilodepargrafo">
    <w:name w:val="[Sem estilo de parág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seminrio1">
    <w:name w:val="seminário1"/>
    <w:basedOn w:val="Semestilodepargrafo"/>
    <w:uiPriority w:val="99"/>
    <w:pPr>
      <w:tabs>
        <w:tab w:val="right" w:leader="dot" w:pos="5954"/>
      </w:tabs>
      <w:spacing w:after="794" w:line="358" w:lineRule="atLeast"/>
      <w:jc w:val="center"/>
    </w:pPr>
    <w:rPr>
      <w:rFonts w:ascii="Garamond" w:hAnsi="Garamond" w:cs="Garamond"/>
      <w:b/>
      <w:bCs/>
      <w:sz w:val="32"/>
      <w:szCs w:val="32"/>
    </w:rPr>
  </w:style>
  <w:style w:type="paragraph" w:customStyle="1" w:styleId="1">
    <w:name w:val="1"/>
    <w:basedOn w:val="Semestilodepargrafo"/>
    <w:uiPriority w:val="99"/>
    <w:pPr>
      <w:tabs>
        <w:tab w:val="left" w:pos="340"/>
      </w:tabs>
      <w:suppressAutoHyphens/>
      <w:spacing w:before="340" w:after="170" w:line="272" w:lineRule="atLeast"/>
      <w:ind w:left="340" w:hanging="340"/>
    </w:pPr>
    <w:rPr>
      <w:rFonts w:ascii="Century731 BT" w:hAnsi="Century731 BT" w:cs="Century731 BT"/>
      <w:b/>
      <w:bCs/>
      <w:w w:val="90"/>
    </w:rPr>
  </w:style>
  <w:style w:type="paragraph" w:customStyle="1" w:styleId="BOLINHA">
    <w:name w:val="BOLINHA"/>
    <w:basedOn w:val="Semestilodepargrafo"/>
    <w:uiPriority w:val="99"/>
    <w:pPr>
      <w:tabs>
        <w:tab w:val="left" w:pos="198"/>
      </w:tabs>
      <w:spacing w:before="68" w:after="68" w:line="276" w:lineRule="atLeast"/>
      <w:ind w:left="198" w:hanging="198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10">
    <w:name w:val="1)"/>
    <w:basedOn w:val="Semestilodepargrafo"/>
    <w:uiPriority w:val="99"/>
    <w:pPr>
      <w:tabs>
        <w:tab w:val="left" w:pos="283"/>
      </w:tabs>
      <w:spacing w:before="68" w:after="68" w:line="280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anexo">
    <w:name w:val="anexo"/>
    <w:basedOn w:val="1"/>
    <w:next w:val="1"/>
    <w:uiPriority w:val="99"/>
    <w:pPr>
      <w:spacing w:before="0" w:after="57" w:line="300" w:lineRule="atLeast"/>
      <w:jc w:val="center"/>
    </w:pPr>
    <w:rPr>
      <w:caps/>
      <w:sz w:val="28"/>
      <w:szCs w:val="28"/>
    </w:rPr>
  </w:style>
  <w:style w:type="paragraph" w:customStyle="1" w:styleId="ANEXO0">
    <w:name w:val="ANEXO"/>
    <w:basedOn w:val="anexo"/>
    <w:next w:val="anexo"/>
    <w:uiPriority w:val="99"/>
    <w:pPr>
      <w:spacing w:before="397"/>
      <w:ind w:left="0" w:firstLine="0"/>
    </w:pPr>
    <w:rPr>
      <w:caps w:val="0"/>
    </w:rPr>
  </w:style>
  <w:style w:type="paragraph" w:customStyle="1" w:styleId="ANEXO1">
    <w:name w:val="ANEXO1"/>
    <w:basedOn w:val="1"/>
    <w:next w:val="1"/>
    <w:uiPriority w:val="99"/>
    <w:pPr>
      <w:spacing w:before="0" w:after="397"/>
      <w:ind w:left="0" w:firstLine="0"/>
      <w:jc w:val="center"/>
    </w:pPr>
  </w:style>
  <w:style w:type="paragraph" w:customStyle="1" w:styleId="texto">
    <w:name w:val="texto"/>
    <w:basedOn w:val="Semestilodepargrafo"/>
    <w:uiPriority w:val="99"/>
    <w:pPr>
      <w:spacing w:before="68" w:after="68" w:line="276" w:lineRule="atLeast"/>
      <w:ind w:firstLine="567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DJ">
    <w:name w:val="DJ"/>
    <w:basedOn w:val="Semestilodepargrafo"/>
    <w:uiPriority w:val="99"/>
    <w:pPr>
      <w:spacing w:before="68" w:after="170" w:line="276" w:lineRule="atLeast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abrerecuoredondo">
    <w:name w:val="abre recuo redond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meiorecuoredondo">
    <w:name w:val="meio recuo redondo"/>
    <w:basedOn w:val="Semestilodepargrafo"/>
    <w:uiPriority w:val="99"/>
    <w:pPr>
      <w:spacing w:before="57" w:after="57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fecharecuo">
    <w:name w:val="fecha recu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fecharecuoredondo">
    <w:name w:val="fecha recuo redondo"/>
    <w:basedOn w:val="Semestilodepargrafo"/>
    <w:uiPriority w:val="99"/>
    <w:pPr>
      <w:spacing w:before="57" w:after="227" w:line="240" w:lineRule="atLeast"/>
      <w:ind w:left="1134"/>
      <w:jc w:val="both"/>
    </w:pPr>
    <w:rPr>
      <w:rFonts w:ascii="Century731 BT" w:hAnsi="Century731 BT" w:cs="Century731 BT"/>
      <w:sz w:val="20"/>
      <w:szCs w:val="20"/>
    </w:rPr>
  </w:style>
  <w:style w:type="paragraph" w:customStyle="1" w:styleId="Pargrafobsico">
    <w:name w:val="[Parágrafo básico]"/>
    <w:basedOn w:val="Semestilodepargrafo"/>
    <w:uiPriority w:val="99"/>
  </w:style>
  <w:style w:type="paragraph" w:customStyle="1" w:styleId="recuo">
    <w:name w:val="recuo"/>
    <w:basedOn w:val="Pargrafobsico"/>
    <w:uiPriority w:val="99"/>
    <w:pPr>
      <w:spacing w:before="227" w:after="22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recuoredondo">
    <w:name w:val="recuo redondo"/>
    <w:basedOn w:val="recuo"/>
    <w:uiPriority w:val="99"/>
  </w:style>
  <w:style w:type="paragraph" w:customStyle="1" w:styleId="abrerecuo">
    <w:name w:val="abre recuo"/>
    <w:basedOn w:val="Semestilodepargrafo"/>
    <w:uiPriority w:val="99"/>
    <w:pPr>
      <w:spacing w:before="227" w:after="57" w:line="240" w:lineRule="atLeast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recuomeio">
    <w:name w:val="recuo meio"/>
    <w:basedOn w:val="Pargrafobsico"/>
    <w:uiPriority w:val="99"/>
    <w:pPr>
      <w:spacing w:before="57" w:after="57"/>
      <w:ind w:left="1134"/>
      <w:jc w:val="both"/>
    </w:pPr>
    <w:rPr>
      <w:rFonts w:ascii="Century731 BT" w:hAnsi="Century731 BT" w:cs="Century731 BT"/>
      <w:i/>
      <w:iCs/>
      <w:sz w:val="20"/>
      <w:szCs w:val="20"/>
    </w:rPr>
  </w:style>
  <w:style w:type="paragraph" w:customStyle="1" w:styleId="QUESTES">
    <w:name w:val="QUESTÕES"/>
    <w:basedOn w:val="Semestilodepargrafo"/>
    <w:uiPriority w:val="99"/>
    <w:pPr>
      <w:tabs>
        <w:tab w:val="left" w:pos="283"/>
      </w:tabs>
      <w:spacing w:before="57" w:after="57" w:line="272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TEXTO0">
    <w:name w:val="TEXTO"/>
    <w:basedOn w:val="Semestilodepargrafo"/>
    <w:uiPriority w:val="99"/>
    <w:pPr>
      <w:spacing w:before="57" w:after="57" w:line="272" w:lineRule="atLeast"/>
      <w:ind w:firstLine="510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EMENTA">
    <w:name w:val="EMENTA"/>
    <w:basedOn w:val="1"/>
    <w:next w:val="1"/>
    <w:uiPriority w:val="99"/>
    <w:pPr>
      <w:ind w:left="0" w:firstLine="0"/>
      <w:jc w:val="center"/>
    </w:pPr>
    <w:rPr>
      <w:caps/>
      <w:w w:val="100"/>
    </w:rPr>
  </w:style>
  <w:style w:type="paragraph" w:customStyle="1" w:styleId="BIBLIO">
    <w:name w:val="BIBLIO"/>
    <w:basedOn w:val="TEXTO0"/>
    <w:uiPriority w:val="99"/>
    <w:pPr>
      <w:ind w:left="340" w:hanging="340"/>
    </w:pPr>
  </w:style>
  <w:style w:type="paragraph" w:styleId="Textodenotaderodap">
    <w:name w:val="footnote text"/>
    <w:basedOn w:val="Pargrafobsico"/>
    <w:link w:val="TextodenotaderodapChar"/>
    <w:uiPriority w:val="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paragraph" w:customStyle="1" w:styleId="roda">
    <w:name w:val="roda"/>
    <w:basedOn w:val="Textodenotaderodap"/>
    <w:uiPriority w:val="99"/>
    <w:pPr>
      <w:spacing w:before="28" w:after="28" w:line="220" w:lineRule="atLeast"/>
      <w:jc w:val="both"/>
    </w:pPr>
    <w:rPr>
      <w:rFonts w:ascii="Century731 BT" w:hAnsi="Century731 BT" w:cs="Century731 BT"/>
      <w:sz w:val="18"/>
      <w:szCs w:val="18"/>
    </w:rPr>
  </w:style>
  <w:style w:type="paragraph" w:customStyle="1" w:styleId="anexo2">
    <w:name w:val="anexo..."/>
    <w:basedOn w:val="Semestilodepargrafo"/>
    <w:uiPriority w:val="99"/>
    <w:rsid w:val="005F63FE"/>
    <w:pPr>
      <w:tabs>
        <w:tab w:val="decimal" w:leader="dot" w:pos="5669"/>
        <w:tab w:val="right" w:pos="6236"/>
      </w:tabs>
      <w:spacing w:after="57" w:line="262" w:lineRule="atLeast"/>
      <w:ind w:left="227"/>
    </w:pPr>
    <w:rPr>
      <w:rFonts w:ascii="Century731 BT" w:hAnsi="Century731 BT" w:cs="Century731 BT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32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20B2"/>
    <w:rPr>
      <w:rFonts w:cs="Times New Roman"/>
    </w:rPr>
  </w:style>
  <w:style w:type="paragraph" w:styleId="Rodap">
    <w:name w:val="footer"/>
    <w:basedOn w:val="Normal"/>
    <w:link w:val="RodapChar"/>
    <w:unhideWhenUsed/>
    <w:rsid w:val="00732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20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D9AB-5DFE-4B98-854A-C844FDF2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2574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FINANCEIRO</cp:lastModifiedBy>
  <cp:revision>2</cp:revision>
  <dcterms:created xsi:type="dcterms:W3CDTF">2015-06-30T19:52:00Z</dcterms:created>
  <dcterms:modified xsi:type="dcterms:W3CDTF">2015-06-30T19:52:00Z</dcterms:modified>
</cp:coreProperties>
</file>