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93" w:rsidRDefault="00464993" w:rsidP="00997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</w:pPr>
    </w:p>
    <w:p w:rsidR="00997724" w:rsidRDefault="00997724" w:rsidP="00997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</w:pPr>
      <w:r w:rsidRPr="00997724"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 xml:space="preserve">REGIME DE TRIBUTAÇÃO </w:t>
      </w:r>
      <w:proofErr w:type="gramStart"/>
      <w:r w:rsidRPr="00997724"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>DA HOLDING</w:t>
      </w:r>
      <w:proofErr w:type="gramEnd"/>
      <w:r w:rsidRPr="00997724"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 xml:space="preserve"> PATRIMONIAL</w:t>
      </w:r>
      <w:r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  <w:t>:</w:t>
      </w:r>
    </w:p>
    <w:p w:rsidR="00464993" w:rsidRPr="00997724" w:rsidRDefault="00464993" w:rsidP="0099772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  <w:u w:val="single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5"/>
      </w:tblGrid>
      <w:tr w:rsidR="00A54969" w:rsidRPr="00A54969" w:rsidTr="00A54969">
        <w:trPr>
          <w:tblCellSpacing w:w="15" w:type="dxa"/>
        </w:trPr>
        <w:tc>
          <w:tcPr>
            <w:tcW w:w="8535" w:type="dxa"/>
            <w:vAlign w:val="center"/>
            <w:hideMark/>
          </w:tcPr>
          <w:p w:rsidR="00A54969" w:rsidRDefault="00A54969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A54969" w:rsidRDefault="00002988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CÁLCULO DO IMPOSTO DE RENDA – PESSOA FÍSICA</w:t>
            </w:r>
          </w:p>
          <w:p w:rsidR="00A54969" w:rsidRPr="00A54969" w:rsidRDefault="00A54969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A54969" w:rsidRPr="00A54969" w:rsidRDefault="00A54969" w:rsidP="00A54969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6"/>
        <w:gridCol w:w="2278"/>
      </w:tblGrid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5918BC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918B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R$ </w:t>
            </w:r>
            <w:r w:rsidR="00993AC4" w:rsidRPr="00AC37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30</w:t>
            </w: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0.000,00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993AC4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27,5% – R$ 869,36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IR APURADO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R$ </w:t>
            </w:r>
            <w:r w:rsidR="00993AC4" w:rsidRPr="00960C2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81.630,64</w:t>
            </w:r>
          </w:p>
        </w:tc>
      </w:tr>
      <w:tr w:rsidR="00AC37DD" w:rsidRPr="00A54969" w:rsidTr="00AC37DD">
        <w:trPr>
          <w:tblCellSpacing w:w="15" w:type="dxa"/>
        </w:trPr>
        <w:tc>
          <w:tcPr>
            <w:tcW w:w="8554" w:type="dxa"/>
            <w:gridSpan w:val="2"/>
            <w:vAlign w:val="center"/>
            <w:hideMark/>
          </w:tcPr>
          <w:p w:rsidR="00AC37DD" w:rsidRPr="00AC37DD" w:rsidRDefault="00AC37DD" w:rsidP="00AC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C37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Tabela IRRF 2016.</w:t>
            </w:r>
          </w:p>
          <w:p w:rsidR="00AC37DD" w:rsidRPr="00A54969" w:rsidRDefault="00AC37DD" w:rsidP="00AC3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C37D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Rendas até R$ 1.903,98 ficarão isentas da contribuição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8554" w:type="dxa"/>
            <w:gridSpan w:val="2"/>
            <w:vAlign w:val="center"/>
            <w:hideMark/>
          </w:tcPr>
          <w:p w:rsidR="00A54969" w:rsidRDefault="00A54969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64993" w:rsidRDefault="00464993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A54969" w:rsidRDefault="00002988" w:rsidP="00A5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CÁLCULO DO IMPOSTO DE RENDA – PESSOA JURÍDICA</w:t>
            </w:r>
          </w:p>
          <w:p w:rsidR="00AC37DD" w:rsidRDefault="00AC37DD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</w:p>
          <w:p w:rsidR="00A54969" w:rsidRDefault="00002988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  <w:r w:rsidRPr="0009169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  <w:t>ADMINISTRADORA DE BENS IMÓVEIS PRÓPRIOS</w:t>
            </w:r>
            <w:r w:rsidR="00A80E0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  <w:t xml:space="preserve"> – Holding</w:t>
            </w:r>
          </w:p>
          <w:p w:rsidR="00464993" w:rsidRDefault="00464993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</w:p>
          <w:p w:rsidR="00AC37DD" w:rsidRPr="00A54969" w:rsidRDefault="00AC37DD" w:rsidP="00AC37D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u w:val="single"/>
                <w:lang w:eastAsia="pt-BR"/>
              </w:rPr>
            </w:pP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5918BC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918B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993AC4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27CC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R$ 30</w:t>
            </w:r>
            <w:r w:rsidR="00A54969"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0.000,00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Percentual presumido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32% da Receita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Base de cálculo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96</w:t>
            </w: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15%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14.400,00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CSSL (9% sobre a base de cálculo)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C37DD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R$ 8.640,</w:t>
            </w:r>
            <w:r w:rsidR="00A54969"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PIS (0,65% sobre a receita)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C37DD" w:rsidP="00993A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R$ 1.950</w:t>
            </w:r>
            <w:r w:rsidR="00A54969"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COFINS (3% sobre a receita)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AC37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9.000</w:t>
            </w:r>
            <w:r w:rsidRPr="00A549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,00</w:t>
            </w:r>
          </w:p>
        </w:tc>
      </w:tr>
      <w:tr w:rsidR="00A54969" w:rsidRPr="00A54969" w:rsidTr="00AC37DD">
        <w:trPr>
          <w:tblCellSpacing w:w="15" w:type="dxa"/>
        </w:trPr>
        <w:tc>
          <w:tcPr>
            <w:tcW w:w="6291" w:type="dxa"/>
            <w:vAlign w:val="center"/>
            <w:hideMark/>
          </w:tcPr>
          <w:p w:rsidR="00A54969" w:rsidRPr="00A54969" w:rsidRDefault="00A54969" w:rsidP="00A549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33" w:type="dxa"/>
            <w:vAlign w:val="center"/>
            <w:hideMark/>
          </w:tcPr>
          <w:p w:rsidR="00A54969" w:rsidRPr="00A54969" w:rsidRDefault="00A54969" w:rsidP="00AC37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R$ </w:t>
            </w:r>
            <w:r w:rsidR="00AC37DD" w:rsidRPr="00B026B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33.990</w:t>
            </w:r>
            <w:r w:rsidRPr="00A549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,00</w:t>
            </w:r>
          </w:p>
        </w:tc>
      </w:tr>
    </w:tbl>
    <w:p w:rsidR="00A54969" w:rsidRDefault="00A54969" w:rsidP="0046499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536"/>
      </w:tblGrid>
      <w:tr w:rsidR="00B026B0" w:rsidTr="00464993">
        <w:tc>
          <w:tcPr>
            <w:tcW w:w="8536" w:type="dxa"/>
          </w:tcPr>
          <w:p w:rsidR="00B026B0" w:rsidRDefault="00B026B0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- Nota:</w:t>
            </w:r>
          </w:p>
          <w:p w:rsidR="00B026B0" w:rsidRDefault="00B026B0" w:rsidP="00B026B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artigo 4º da Lei nº 9.430/96, dispõe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que a 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Administradora de Bens Imóveis Próprios que auferir a receita bruta superior a R$ 20.000,00 (vinte mil reais) ao mês, ou superior a R$ 60.000,00 (sessenta mil) no trimestre terá que apurar o adicional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imposto de renda à alíquota de 10%.</w:t>
            </w:r>
          </w:p>
          <w:p w:rsidR="00B026B0" w:rsidRDefault="00B026B0" w:rsidP="00B026B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B026B0" w:rsidRPr="00A54969" w:rsidRDefault="00B026B0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A54969" w:rsidRDefault="00A54969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A54969" w:rsidRDefault="00A54969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8755" w:type="dxa"/>
        <w:tblLook w:val="04A0"/>
      </w:tblPr>
      <w:tblGrid>
        <w:gridCol w:w="8755"/>
      </w:tblGrid>
      <w:tr w:rsidR="00464993" w:rsidTr="00464993">
        <w:tc>
          <w:tcPr>
            <w:tcW w:w="8755" w:type="dxa"/>
          </w:tcPr>
          <w:p w:rsidR="00464993" w:rsidRDefault="00464993" w:rsidP="0046499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lastRenderedPageBreak/>
              <w:t>FUNDAMENTAÇÃO DA TRIBUTAÇÃO – HOLDING PATRIMONIAL</w:t>
            </w:r>
          </w:p>
        </w:tc>
      </w:tr>
    </w:tbl>
    <w:p w:rsidR="00464993" w:rsidRPr="00997724" w:rsidRDefault="00464993" w:rsidP="0046499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683"/>
        <w:gridCol w:w="4187"/>
        <w:gridCol w:w="2850"/>
      </w:tblGrid>
      <w:tr w:rsidR="0038468E" w:rsidTr="00464993">
        <w:tc>
          <w:tcPr>
            <w:tcW w:w="1683" w:type="dxa"/>
          </w:tcPr>
          <w:p w:rsidR="00997724" w:rsidRDefault="00997724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SIMPLES NACIONAL</w:t>
            </w:r>
          </w:p>
          <w:p w:rsidR="00997724" w:rsidRDefault="00997724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997724" w:rsidRDefault="00997724" w:rsidP="007728C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É </w:t>
            </w:r>
            <w:proofErr w:type="gramStart"/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veda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</w:t>
            </w:r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 empresas que tem no objeto social a atividade de locação de bens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de acordo com a </w:t>
            </w:r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Lei Complementar 123/2006, artigo 17, incisos XIV e XV</w:t>
            </w:r>
            <w:proofErr w:type="gramEnd"/>
            <w:r w:rsidRPr="009977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850" w:type="dxa"/>
          </w:tcPr>
          <w:p w:rsidR="00997724" w:rsidRDefault="00525987" w:rsidP="007728CC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525987">
              <w:rPr>
                <w:rFonts w:ascii="Arial" w:hAnsi="Arial" w:cs="Arial"/>
                <w:sz w:val="24"/>
              </w:rPr>
              <w:t xml:space="preserve">- </w:t>
            </w:r>
            <w:r w:rsidR="007728CC" w:rsidRPr="00525987">
              <w:rPr>
                <w:rFonts w:ascii="Arial" w:hAnsi="Arial" w:cs="Arial"/>
                <w:sz w:val="24"/>
              </w:rPr>
              <w:t xml:space="preserve">Se optar pelo simples nacional não poderá auferir </w:t>
            </w:r>
            <w:proofErr w:type="gramStart"/>
            <w:r w:rsidR="007728CC" w:rsidRPr="00525987">
              <w:rPr>
                <w:rFonts w:ascii="Arial" w:hAnsi="Arial" w:cs="Arial"/>
                <w:sz w:val="24"/>
              </w:rPr>
              <w:t>renda oriundas de aluguéis</w:t>
            </w:r>
            <w:proofErr w:type="gramEnd"/>
            <w:r w:rsidR="007728CC" w:rsidRPr="00525987">
              <w:rPr>
                <w:sz w:val="24"/>
              </w:rPr>
              <w:t>.</w:t>
            </w:r>
          </w:p>
        </w:tc>
      </w:tr>
      <w:tr w:rsidR="001E6DCB" w:rsidTr="00464993">
        <w:tc>
          <w:tcPr>
            <w:tcW w:w="1683" w:type="dxa"/>
          </w:tcPr>
          <w:p w:rsidR="007728CC" w:rsidRDefault="00792E21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REGIME DE LUCRO</w:t>
            </w: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792E21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oderá ser tributada pelo regime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792E21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lucro real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792E21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arbitrado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7728CC" w:rsidRDefault="00792E21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  <w:r w:rsidRPr="00792E2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lucro presumido.</w:t>
            </w:r>
          </w:p>
        </w:tc>
        <w:tc>
          <w:tcPr>
            <w:tcW w:w="2850" w:type="dxa"/>
          </w:tcPr>
          <w:p w:rsidR="007728CC" w:rsidRDefault="007728CC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1E6DCB" w:rsidTr="00464993">
        <w:tc>
          <w:tcPr>
            <w:tcW w:w="1683" w:type="dxa"/>
          </w:tcPr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454AEF" w:rsidRDefault="00454AEF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1E6DCB" w:rsidTr="00464993">
        <w:tc>
          <w:tcPr>
            <w:tcW w:w="1683" w:type="dxa"/>
          </w:tcPr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LUCRO PRESUMIDO</w:t>
            </w:r>
          </w:p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454AEF" w:rsidRDefault="00454AEF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454AEF" w:rsidRDefault="00454AEF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Consoante artigo 13 da Lei 9.718/1998, a pessoa jurídica cuja receita bruta total, no ano-calendário anterior, tenha sido igual ou inferior a R$ 78.000.000,00 (setenta e oito milhões de reais), poderá optar pela tributação com base no lucro presumido.</w:t>
            </w:r>
          </w:p>
          <w:p w:rsidR="00454AEF" w:rsidRDefault="00454AEF" w:rsidP="00454AE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empresa poderá ser optante pelo Lucro Presumido caso não se enquadre em nenhum impedimento previsto no artigo 14 da Lei nº 9.718/98. </w:t>
            </w:r>
          </w:p>
          <w:p w:rsidR="00454AEF" w:rsidRDefault="00454AEF" w:rsidP="00454AE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Conforme regra do artigo 15, inciso III, alínea C, da Lei 9.249/95 a base de cálculo do Imposto de Renda da Administradora de Bens </w:t>
            </w:r>
            <w:proofErr w:type="gramStart"/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Imóveis Próprios tributada</w:t>
            </w:r>
            <w:proofErr w:type="gramEnd"/>
            <w:r w:rsidRPr="00454A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pelo Lucro Presumido será de 32% sobre a receita bruta.</w:t>
            </w:r>
          </w:p>
          <w:p w:rsidR="0038468E" w:rsidRDefault="0038468E" w:rsidP="00454AE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454AEF" w:rsidRP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Imposto de Renda,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</w:t>
            </w:r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liquota</w:t>
            </w:r>
            <w:proofErr w:type="spellEnd"/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de 32% sobre a receita bruta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.</w:t>
            </w:r>
          </w:p>
        </w:tc>
      </w:tr>
      <w:tr w:rsidR="0038468E" w:rsidTr="00464993">
        <w:tc>
          <w:tcPr>
            <w:tcW w:w="1683" w:type="dxa"/>
          </w:tcPr>
          <w:p w:rsidR="0038468E" w:rsidRP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3846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IRPJ:</w:t>
            </w:r>
          </w:p>
          <w:p w:rsid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3846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 xml:space="preserve">Sobre as receitas oriundas de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L</w:t>
            </w:r>
            <w:r w:rsidRPr="0038468E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ocações</w:t>
            </w:r>
          </w:p>
          <w:p w:rsidR="0038468E" w:rsidRDefault="0038468E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38468E" w:rsidRDefault="0038468E" w:rsidP="00997724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38468E" w:rsidRDefault="0038468E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- </w:t>
            </w:r>
            <w:r w:rsidRPr="00384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Essa regra está prevista no artigo 8º da Instrução Normativa SRF nº 93/1997.</w:t>
            </w:r>
          </w:p>
          <w:p w:rsidR="0038468E" w:rsidRDefault="0038468E" w:rsidP="009C166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  <w:r w:rsidRPr="00384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Levando em consideração que a </w:t>
            </w:r>
            <w:r w:rsidR="009C16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384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líquota é de 15% sobre a base de cálculo de 32% sobre a receita bruta, o custo tributário final é de 4,80%.</w:t>
            </w:r>
          </w:p>
        </w:tc>
        <w:tc>
          <w:tcPr>
            <w:tcW w:w="2850" w:type="dxa"/>
          </w:tcPr>
          <w:p w:rsidR="0038468E" w:rsidRDefault="0038468E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</w:t>
            </w:r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líquota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de</w:t>
            </w:r>
            <w:r w:rsidRPr="0038468E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15% aplicada na base de cálculo de 32% sobre a receita bruta apurada.</w:t>
            </w:r>
          </w:p>
        </w:tc>
      </w:tr>
      <w:tr w:rsidR="00D87893" w:rsidTr="00464993">
        <w:tc>
          <w:tcPr>
            <w:tcW w:w="1683" w:type="dxa"/>
          </w:tcPr>
          <w:p w:rsidR="00D87893" w:rsidRDefault="00D87893" w:rsidP="00D87893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D87893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lastRenderedPageBreak/>
              <w:t>CSLL</w:t>
            </w:r>
          </w:p>
          <w:p w:rsidR="00D87893" w:rsidRPr="0038468E" w:rsidRDefault="00D87893" w:rsidP="00D87893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9C166C" w:rsidRDefault="009C166C" w:rsidP="009C166C">
            <w:pPr>
              <w:pStyle w:val="NormalWeb"/>
              <w:jc w:val="both"/>
            </w:pPr>
            <w:r>
              <w:t xml:space="preserve">No tocante a CSLL, a alíquota da </w:t>
            </w:r>
            <w:r>
              <w:rPr>
                <w:rStyle w:val="Forte"/>
              </w:rPr>
              <w:t>Administradora de Bens Imóveis Próprios,</w:t>
            </w:r>
            <w:r>
              <w:t xml:space="preserve"> optante pelo Lucro Presumido é de 9% aplicada sobre a base de cálculo de 32%, consoante regras dos artigos 3º e 31 da Instrução Normativa SRF nº 390/2004.</w:t>
            </w:r>
          </w:p>
          <w:p w:rsidR="00D87893" w:rsidRDefault="00D87893" w:rsidP="009C166C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:rsidR="009C166C" w:rsidRDefault="009C166C" w:rsidP="009C166C">
            <w:pPr>
              <w:pStyle w:val="NormalWeb"/>
              <w:jc w:val="both"/>
            </w:pPr>
            <w:r>
              <w:t>- Levando em conta que a CSLL será tributada pela alíquota de 9% sobre a base de cálculo de 32%, o custo tributário final é de 2,88%.</w:t>
            </w:r>
          </w:p>
          <w:p w:rsid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D87893" w:rsidTr="00464993">
        <w:tc>
          <w:tcPr>
            <w:tcW w:w="1683" w:type="dxa"/>
          </w:tcPr>
          <w:p w:rsid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PIS</w:t>
            </w:r>
          </w:p>
          <w:p w:rsidR="00D87893" w:rsidRP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D87893" w:rsidRDefault="006833D3" w:rsidP="00792E2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6833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PIS (0,65% sobre a receita)</w:t>
            </w:r>
          </w:p>
        </w:tc>
        <w:tc>
          <w:tcPr>
            <w:tcW w:w="2850" w:type="dxa"/>
          </w:tcPr>
          <w:p w:rsid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C016E8" w:rsidTr="00464993">
        <w:tc>
          <w:tcPr>
            <w:tcW w:w="1683" w:type="dxa"/>
          </w:tcPr>
          <w:p w:rsidR="00C016E8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COFINS</w:t>
            </w:r>
          </w:p>
          <w:p w:rsidR="00C016E8" w:rsidRPr="00D87893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C016E8" w:rsidRDefault="006833D3" w:rsidP="00241F9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Pr="006833D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COFINS (3% sobre a receita)</w:t>
            </w:r>
          </w:p>
        </w:tc>
        <w:tc>
          <w:tcPr>
            <w:tcW w:w="2850" w:type="dxa"/>
          </w:tcPr>
          <w:p w:rsidR="00C016E8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C016E8" w:rsidTr="00464993">
        <w:tc>
          <w:tcPr>
            <w:tcW w:w="1683" w:type="dxa"/>
          </w:tcPr>
          <w:p w:rsidR="006833D3" w:rsidRDefault="00C016E8" w:rsidP="006833D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JURÍDICA</w:t>
            </w:r>
          </w:p>
          <w:p w:rsidR="006833D3" w:rsidRDefault="006833D3" w:rsidP="006833D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X</w:t>
            </w:r>
          </w:p>
          <w:p w:rsidR="00C016E8" w:rsidRDefault="00C016E8" w:rsidP="006833D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FÍSICA</w:t>
            </w:r>
          </w:p>
          <w:p w:rsidR="00C016E8" w:rsidRPr="00D87893" w:rsidRDefault="00C016E8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C016E8" w:rsidRDefault="00C016E8" w:rsidP="00C016E8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</w:t>
            </w:r>
            <w:r w:rsidRPr="00D8789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Mesmo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com </w:t>
            </w:r>
            <w:r w:rsidRPr="00D8789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 incidência de CSLL, PIS e COFINS, a tributação das receitas pela pessoa jurídica é extremamente vantajosa em comparação com a tributação das receitas operadas pela pessoa física.</w:t>
            </w:r>
          </w:p>
          <w:p w:rsidR="00C016E8" w:rsidRPr="00C016E8" w:rsidRDefault="00C016E8" w:rsidP="00C016E8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BF25A1" w:rsidRDefault="00BF25A1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– Na pessoa física, a tributação sobre a renda de aluguéis pode atingir até 27,5%. </w:t>
            </w:r>
          </w:p>
          <w:p w:rsidR="00BF25A1" w:rsidRDefault="00BF25A1" w:rsidP="00241F9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</w:t>
            </w: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Na pessoa jurídica, pode-se chegar a 11,3% para receitas de até R$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62.500,00 mensais. </w:t>
            </w:r>
          </w:p>
          <w:p w:rsidR="00BF25A1" w:rsidRDefault="00BF25A1" w:rsidP="00BF25A1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- </w:t>
            </w:r>
            <w:r w:rsidRPr="00BF25A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Acima dess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e valor, a taxa chega a 14,53%.</w:t>
            </w:r>
          </w:p>
          <w:p w:rsidR="00BF25A1" w:rsidRDefault="00BF25A1" w:rsidP="00BF25A1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D87893" w:rsidTr="00464993">
        <w:tc>
          <w:tcPr>
            <w:tcW w:w="1683" w:type="dxa"/>
          </w:tcPr>
          <w:p w:rsidR="00D87893" w:rsidRDefault="001E6DCB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PARCELA EXCEDENTE DO LUCRO</w:t>
            </w:r>
          </w:p>
          <w:p w:rsidR="00D87893" w:rsidRPr="00D87893" w:rsidRDefault="00D87893" w:rsidP="0038468E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4187" w:type="dxa"/>
          </w:tcPr>
          <w:p w:rsidR="001E6DCB" w:rsidRDefault="001E6DCB" w:rsidP="001E6D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 O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artigo 4º da Lei nº 9.430/96, dispõe que a parcela do lucro real, presumido ou arbitrado, que exceder o valor resultante da multiplicação de R$ 20.000,00 (vinte mil reais) pelo número de meses do respectivo período de apuração estará sujeita a incidência de adicional do imposto de renda à alíquota de 10%. </w:t>
            </w:r>
          </w:p>
          <w:p w:rsidR="001E6DCB" w:rsidRDefault="001E6DCB" w:rsidP="001E6D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A 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Administradora de Bens Imóveis Próprios que auferir a receita bruta superior a R$ 20.000,00 (vinte mil reais) ao mês, ou superior a R$ 60.000,00 (sessenta mil) no trimestre terá que apurar o adicional.</w:t>
            </w:r>
          </w:p>
          <w:p w:rsidR="00D87893" w:rsidRDefault="00D87893" w:rsidP="001E6DC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0" w:type="dxa"/>
          </w:tcPr>
          <w:p w:rsidR="00D87893" w:rsidRDefault="001E6DCB" w:rsidP="001E6DCB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 O</w:t>
            </w:r>
            <w:r w:rsidRPr="001E6DC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10% irão incidir somente sobre o montante que ultrapassar o limite estabelecido.</w:t>
            </w:r>
          </w:p>
        </w:tc>
      </w:tr>
    </w:tbl>
    <w:p w:rsidR="00997724" w:rsidRDefault="00997724" w:rsidP="00997724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059DE" w:rsidTr="007059DE">
        <w:tc>
          <w:tcPr>
            <w:tcW w:w="8644" w:type="dxa"/>
          </w:tcPr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ALÍQUOTA DE GANHOS DE CAPITAL NA ALIENAÇÃO DE IMÓVEIS NA PESSOA FÍSICA</w:t>
            </w:r>
            <w:r w:rsidR="00F75873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:</w:t>
            </w:r>
          </w:p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7059DE" w:rsidTr="007059DE">
        <w:tc>
          <w:tcPr>
            <w:tcW w:w="8644" w:type="dxa"/>
          </w:tcPr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A Medida Provisória 692/2015 alter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ou</w:t>
            </w: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a Lei 8.981/1995, para dispor acerca da incidência de imposto sobre a renda na hipótese de ganho de capital em decorrência da alienação de bens e direitos de qualquer natureza.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A partir de 2016, incidirão as seguintes alíquotas sobre o ganho de capital: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15% sobre a parcela dos ganhos que não ultrapassar R$ 1.000.000,00;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20% sobre a parcela dos ganhos que exceder R$ 1.000.000,00 e não ultrapassar R$ 5.000.000,00;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25% sobre a parcela dos ganhos que exceder R$ 5.000.000,00 e não ultrapassar R$ 20.000.000,00;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– 30% sobre a parcela dos ganhos que ultrapassar R$ 20.000.000,00.</w:t>
            </w: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</w:p>
          <w:p w:rsidR="00F75873" w:rsidRPr="007059DE" w:rsidRDefault="00F75873" w:rsidP="00F75873">
            <w:pPr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 w:rsidRPr="007059DE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As novas alíquotas serão aplicadas também, a partir de 2016, ao ganho de capital percebido por pessoa jurídica em decorrência da alienação de bens e direitos do Ativo Não Circulante, exceto as tributadas pelo lucro real, presumido ou arbitrado. Portanto, aplicam-se tais alíquotas nas vendas de bens efetuadas pelas empresas optantes pelo Simples Nacional.</w:t>
            </w:r>
          </w:p>
          <w:p w:rsidR="007059DE" w:rsidRDefault="007059DE" w:rsidP="007059D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</w:tbl>
    <w:p w:rsidR="007059DE" w:rsidRPr="007059DE" w:rsidRDefault="007059DE" w:rsidP="007059D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F84589" w:rsidTr="0065405E">
        <w:tc>
          <w:tcPr>
            <w:tcW w:w="8644" w:type="dxa"/>
          </w:tcPr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 w:rsidRPr="007059DE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ALÍQUOTA DE GANHOS DE CAPITAL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PARA A ADMINISTRADORA DE BENS PRÓPRIOS – HOLDING:</w:t>
            </w:r>
          </w:p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F84589" w:rsidTr="0065405E">
        <w:tc>
          <w:tcPr>
            <w:tcW w:w="8644" w:type="dxa"/>
          </w:tcPr>
          <w:p w:rsidR="00F84589" w:rsidRPr="007059DE" w:rsidRDefault="00F84589" w:rsidP="00F84589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 w:rsidR="0071424B"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  <w:t>A</w:t>
            </w:r>
            <w:r w:rsidRPr="00C826F3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carga tributária para a Administradora de Bens Imóveis Próprios na venda de um imóvel terá o custo tributário final de 5,93%, mais o adicional que se chegará a uma dizima periódica de aproximadamente 6,74% sobre o valor total da alienação, e não sobre o ganho de capital propriamente dito como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na tributação da pessoa física.</w:t>
            </w:r>
          </w:p>
          <w:p w:rsidR="00F84589" w:rsidRDefault="00F84589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</w:tbl>
    <w:p w:rsidR="007059DE" w:rsidRDefault="007059DE" w:rsidP="00F8458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94ECA" w:rsidTr="00994ECA">
        <w:tc>
          <w:tcPr>
            <w:tcW w:w="8644" w:type="dxa"/>
            <w:gridSpan w:val="2"/>
          </w:tcPr>
          <w:p w:rsidR="00994ECA" w:rsidRDefault="00994ECA" w:rsidP="00994EC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pt-BR"/>
              </w:rPr>
            </w:pPr>
          </w:p>
          <w:p w:rsidR="00994ECA" w:rsidRPr="00994ECA" w:rsidRDefault="00994ECA" w:rsidP="00994EC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994EC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pt-BR"/>
              </w:rPr>
              <w:t>GANHO DE CAPITAL</w:t>
            </w:r>
          </w:p>
          <w:p w:rsidR="00994ECA" w:rsidRPr="00994ECA" w:rsidRDefault="00994ECA" w:rsidP="00994ECA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994ECA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ALIENAÇÃO DE IMÓVEIS</w:t>
            </w:r>
          </w:p>
          <w:p w:rsidR="00994ECA" w:rsidRDefault="00994ECA" w:rsidP="00994ECA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994ECA" w:rsidTr="0065405E">
        <w:tc>
          <w:tcPr>
            <w:tcW w:w="4322" w:type="dxa"/>
          </w:tcPr>
          <w:p w:rsidR="00994ECA" w:rsidRDefault="00994ECA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FÍSICA</w:t>
            </w:r>
          </w:p>
        </w:tc>
        <w:tc>
          <w:tcPr>
            <w:tcW w:w="4322" w:type="dxa"/>
          </w:tcPr>
          <w:p w:rsidR="00994ECA" w:rsidRDefault="00994ECA" w:rsidP="0065405E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PESSOA JURÍDICA - HOLDING</w:t>
            </w:r>
          </w:p>
        </w:tc>
      </w:tr>
      <w:tr w:rsidR="00994ECA" w:rsidTr="00994ECA">
        <w:tc>
          <w:tcPr>
            <w:tcW w:w="4322" w:type="dxa"/>
          </w:tcPr>
          <w:p w:rsidR="00994ECA" w:rsidRDefault="00994ECA" w:rsidP="00994EC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15% a 30%</w:t>
            </w:r>
          </w:p>
        </w:tc>
        <w:tc>
          <w:tcPr>
            <w:tcW w:w="4322" w:type="dxa"/>
          </w:tcPr>
          <w:p w:rsidR="00994ECA" w:rsidRDefault="00994ECA" w:rsidP="00994EC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6,74%</w:t>
            </w:r>
          </w:p>
        </w:tc>
      </w:tr>
      <w:tr w:rsidR="00994ECA" w:rsidTr="0065405E">
        <w:tc>
          <w:tcPr>
            <w:tcW w:w="8644" w:type="dxa"/>
            <w:gridSpan w:val="2"/>
          </w:tcPr>
          <w:p w:rsidR="00994ECA" w:rsidRDefault="00994ECA" w:rsidP="0065405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6"/>
                <w:lang w:eastAsia="pt-BR"/>
              </w:rPr>
            </w:pPr>
          </w:p>
          <w:p w:rsidR="00994ECA" w:rsidRDefault="00994ECA" w:rsidP="00994ECA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 xml:space="preserve">- Na venda de imóveis, há uma economia entre 8,26% a 23,26% em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uma holding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.</w:t>
            </w:r>
          </w:p>
          <w:p w:rsidR="00994ECA" w:rsidRDefault="00994ECA" w:rsidP="00994ECA">
            <w:pPr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1B75F3" w:rsidRPr="007059DE" w:rsidRDefault="001B75F3" w:rsidP="000B6E3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B6E3A" w:rsidTr="003E2518">
        <w:tc>
          <w:tcPr>
            <w:tcW w:w="8644" w:type="dxa"/>
          </w:tcPr>
          <w:p w:rsidR="000B6E3A" w:rsidRDefault="000B6E3A" w:rsidP="003E25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0B6E3A" w:rsidRDefault="000B6E3A" w:rsidP="003E25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CONTRIBUIÇÃO SINDICAL PATRONAL – HOLDING:</w:t>
            </w:r>
          </w:p>
          <w:p w:rsidR="000B6E3A" w:rsidRDefault="000B6E3A" w:rsidP="003E2518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0B6E3A" w:rsidTr="003E2518">
        <w:tc>
          <w:tcPr>
            <w:tcW w:w="8644" w:type="dxa"/>
          </w:tcPr>
          <w:p w:rsidR="000B6E3A" w:rsidRP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- Incide a C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ontribuição sindical patronal, calculada sobre o valor do capital social, ainda que a holding tenha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por operação unicamente participar do capital de outras sociedades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(holding pura)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mesmo 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que não tenha empregados e, portanto, inexista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folha de pagamento.</w:t>
            </w:r>
          </w:p>
          <w:p w:rsidR="000B6E3A" w:rsidRDefault="000B6E3A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- A jurisprudência dominante do TST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obriga o recolhimento da contribuição.</w:t>
            </w:r>
          </w:p>
          <w:p w:rsidR="00F17A3D" w:rsidRDefault="00F17A3D" w:rsidP="000B6E3A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</w:tbl>
    <w:p w:rsidR="000B6E3A" w:rsidRDefault="000B6E3A" w:rsidP="005918B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tbl>
      <w:tblPr>
        <w:tblW w:w="867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5"/>
        <w:gridCol w:w="2763"/>
        <w:gridCol w:w="2992"/>
      </w:tblGrid>
      <w:tr w:rsidR="005918BC" w:rsidRPr="005918BC" w:rsidTr="005918BC">
        <w:trPr>
          <w:tblCellSpacing w:w="75" w:type="dxa"/>
        </w:trPr>
        <w:tc>
          <w:tcPr>
            <w:tcW w:w="8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Tabela para Recolhimento da Contribuição Sindical Patronal – 2016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TABELA I – AGENTES DO COMÉRCIO E AUTÔNOMOS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918BC" w:rsidRPr="005918BC" w:rsidTr="005918BC">
        <w:trPr>
          <w:tblCellSpacing w:w="75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de Referência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 R$)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Alíquota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da Contribuição a Recolher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 R$)</w:t>
            </w:r>
          </w:p>
        </w:tc>
      </w:tr>
      <w:tr w:rsidR="005918BC" w:rsidRPr="005918BC" w:rsidTr="005918BC">
        <w:trPr>
          <w:tblCellSpacing w:w="75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321,43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96,43</w:t>
            </w:r>
          </w:p>
        </w:tc>
      </w:tr>
    </w:tbl>
    <w:p w:rsidR="005918BC" w:rsidRPr="005918BC" w:rsidRDefault="005918BC" w:rsidP="00591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8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918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8812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1095"/>
        <w:gridCol w:w="1186"/>
        <w:gridCol w:w="3490"/>
      </w:tblGrid>
      <w:tr w:rsidR="005918BC" w:rsidRPr="005918BC" w:rsidTr="005918BC">
        <w:trPr>
          <w:trHeight w:val="835"/>
          <w:tblCellSpacing w:w="75" w:type="dxa"/>
        </w:trPr>
        <w:tc>
          <w:tcPr>
            <w:tcW w:w="85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Tabela para Cálculo da Contribuição Sindical – 2016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TABELA II – EMPRESAS EM GERAL</w:t>
            </w:r>
          </w:p>
        </w:tc>
      </w:tr>
      <w:tr w:rsidR="005918BC" w:rsidRPr="005918BC" w:rsidTr="005918BC">
        <w:trPr>
          <w:trHeight w:val="1119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Classe de Capital Social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 R$)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Alíquota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Parcela a adicionar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(em R$) 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da contribuição a recolher</w:t>
            </w:r>
          </w:p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(em R$)</w:t>
            </w:r>
          </w:p>
        </w:tc>
      </w:tr>
      <w:tr w:rsidR="005918BC" w:rsidRPr="005918BC" w:rsidTr="005918BC">
        <w:trPr>
          <w:trHeight w:val="552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 – de 0,01 até 24.107,25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Contr. Mínima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192,86</w:t>
            </w:r>
          </w:p>
        </w:tc>
      </w:tr>
      <w:tr w:rsidR="005918BC" w:rsidRPr="005918BC" w:rsidTr="005918BC">
        <w:trPr>
          <w:trHeight w:val="300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 – de 24.107,26 até 48.214,50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Calcular capital social x alíquota</w:t>
            </w:r>
          </w:p>
        </w:tc>
      </w:tr>
      <w:tr w:rsidR="005918BC" w:rsidRPr="005918BC" w:rsidTr="005918BC">
        <w:trPr>
          <w:trHeight w:val="568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III – de 48.214,51 até 482.145,00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289,29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Calcular capital social x alíquota + parcela a adicionar</w:t>
            </w:r>
          </w:p>
        </w:tc>
      </w:tr>
      <w:tr w:rsidR="005918BC" w:rsidRPr="005918BC" w:rsidTr="005918BC">
        <w:trPr>
          <w:trHeight w:val="568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 – de 482.145,01 até 48.214.500,00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771,43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Calcular capital social x alíquota + parcela a adicionar</w:t>
            </w:r>
          </w:p>
        </w:tc>
      </w:tr>
      <w:tr w:rsidR="005918BC" w:rsidRPr="005918BC" w:rsidTr="005918BC">
        <w:trPr>
          <w:trHeight w:val="552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 – de 48.214.500,01 até 257.144.000,00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0,02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39.343,03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Calcular capital social x alíquota + parcela a adicionar</w:t>
            </w:r>
          </w:p>
        </w:tc>
      </w:tr>
      <w:tr w:rsidR="005918BC" w:rsidRPr="005918BC" w:rsidTr="005918BC">
        <w:trPr>
          <w:trHeight w:val="568"/>
          <w:tblCellSpacing w:w="75" w:type="dxa"/>
        </w:trPr>
        <w:tc>
          <w:tcPr>
            <w:tcW w:w="2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 – de 257.144.000,01 em diante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Contr. Máxima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8BC" w:rsidRPr="005918BC" w:rsidRDefault="005918BC" w:rsidP="00591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1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90.771,83</w:t>
            </w:r>
          </w:p>
        </w:tc>
      </w:tr>
    </w:tbl>
    <w:p w:rsidR="000B6E3A" w:rsidRDefault="005918BC" w:rsidP="00591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8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75F3" w:rsidRDefault="001B75F3" w:rsidP="005918BC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W w:w="8755" w:type="dxa"/>
        <w:tblLook w:val="04A0"/>
      </w:tblPr>
      <w:tblGrid>
        <w:gridCol w:w="8755"/>
      </w:tblGrid>
      <w:tr w:rsidR="00BC1CEA" w:rsidTr="0065405E">
        <w:tc>
          <w:tcPr>
            <w:tcW w:w="8755" w:type="dxa"/>
          </w:tcPr>
          <w:p w:rsidR="00BC1CEA" w:rsidRDefault="00BC1CEA" w:rsidP="00BC1CE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  <w:p w:rsidR="00E45288" w:rsidRPr="00E45288" w:rsidRDefault="00E45288" w:rsidP="00E45288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</w:pPr>
            <w:r w:rsidRPr="00E45288"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 xml:space="preserve">JUROS SOBRE O CAPITAL PRÓPRIO INTEGRAM A BASE DO PIS/COFINS CUMULATIVO </w:t>
            </w:r>
            <w:proofErr w:type="gramStart"/>
            <w:r w:rsidRPr="00E45288"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DAS HOLDINGS</w:t>
            </w:r>
            <w:proofErr w:type="gramEnd"/>
          </w:p>
          <w:p w:rsidR="00BC1CEA" w:rsidRDefault="00BC1CEA" w:rsidP="00BC1CE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</w:tr>
      <w:tr w:rsidR="00BC1CEA" w:rsidTr="0065405E">
        <w:tc>
          <w:tcPr>
            <w:tcW w:w="8755" w:type="dxa"/>
          </w:tcPr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 xml:space="preserve">O artigo 12 do Decreto-Lei nº 1.598, de 26 de dezembro de 1977 estabelecia que a “receita bruta das vendas e </w:t>
            </w:r>
            <w:proofErr w:type="gramStart"/>
            <w:r w:rsidRPr="00E45288">
              <w:rPr>
                <w:rFonts w:ascii="Arial" w:hAnsi="Arial" w:cs="Arial"/>
                <w:color w:val="333333"/>
              </w:rPr>
              <w:t>serviços compreende</w:t>
            </w:r>
            <w:proofErr w:type="gramEnd"/>
            <w:r w:rsidRPr="00E45288">
              <w:rPr>
                <w:rFonts w:ascii="Arial" w:hAnsi="Arial" w:cs="Arial"/>
                <w:color w:val="333333"/>
              </w:rPr>
              <w:t xml:space="preserve"> o produto da venda de bens nas operações de conta própria e o preço dos serviços prestados.”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> 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 xml:space="preserve">Com o advento da Lei nº 12.973/2014 o conceito de receita bruta previsto no artigo 12 mencionado, foi alterado. </w:t>
            </w:r>
            <w:proofErr w:type="gramStart"/>
            <w:r w:rsidRPr="00E45288">
              <w:rPr>
                <w:rFonts w:ascii="Arial" w:hAnsi="Arial" w:cs="Arial"/>
                <w:color w:val="333333"/>
              </w:rPr>
              <w:t>Nos termos da lei nova a receita bruta compreende: I – o produto da venda de bens nas operações de conta própria; II – o preço da prestação de serviços em geral; III – o resultado auferido nas operações de conta alheia; e IV – as receitas da atividade ou objeto principal da pessoa jurídica, não compreendidas nos incisos I a III.”</w:t>
            </w:r>
            <w:proofErr w:type="gramEnd"/>
            <w:r w:rsidRPr="00E45288">
              <w:rPr>
                <w:rFonts w:ascii="Arial" w:hAnsi="Arial" w:cs="Arial"/>
                <w:color w:val="333333"/>
              </w:rPr>
              <w:t xml:space="preserve"> (artigo 12 e incisos).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> 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>Para adequar a legislação do PIS e da COFINS ao novo conceito de receita bruta, a Lei 12.973/2014 modificou a redação do artigo 3º da Lei Federal n. 9.718, de 27 de novembro de 1998, cuja redação passou a ser a seguinte: “o faturamento a que se refere o art. 2º compreende a receita bruta de que trata o art. 12 do Decreto-Lei nº 1.598, de 26 de dezembro de 1977.” (artigo 3º).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> 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 xml:space="preserve">Estas normas alteraram significativamente a base de cálculo do PIS e </w:t>
            </w:r>
            <w:proofErr w:type="spellStart"/>
            <w:proofErr w:type="gramStart"/>
            <w:r w:rsidRPr="00E45288">
              <w:rPr>
                <w:rFonts w:ascii="Arial" w:hAnsi="Arial" w:cs="Arial"/>
                <w:color w:val="333333"/>
              </w:rPr>
              <w:t>Cofins</w:t>
            </w:r>
            <w:proofErr w:type="spellEnd"/>
            <w:proofErr w:type="gramEnd"/>
            <w:r w:rsidRPr="00E45288">
              <w:rPr>
                <w:rFonts w:ascii="Arial" w:hAnsi="Arial" w:cs="Arial"/>
                <w:color w:val="333333"/>
              </w:rPr>
              <w:t xml:space="preserve"> cumulativo que era apenas a receita decorrente da venda de bens e ou serviços, e passou a abranger o resultado auferido nas operações de conta alheia; e as receitas da atividade ou objeto principal da pessoa jurídica.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t> 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</w:rPr>
            </w:pPr>
            <w:r w:rsidRPr="00E45288">
              <w:rPr>
                <w:rFonts w:ascii="Arial" w:hAnsi="Arial" w:cs="Arial"/>
                <w:color w:val="333333"/>
              </w:rPr>
              <w:lastRenderedPageBreak/>
              <w:t>Em vista disso, a Receita Federal emitiu solução de consulta COSIT nº 84, de 08 de junho de 2016 no sentido de que as receitas decorrentes do recebimento de juros sobre o capital próprio auferidas por pessoa jurídica cujo objeto social seja a participação no capital social de outras sociedades (</w:t>
            </w:r>
            <w:hyperlink r:id="rId5" w:history="1">
              <w:r w:rsidRPr="00E45288">
                <w:rPr>
                  <w:rStyle w:val="Hyperlink"/>
                  <w:rFonts w:ascii="Arial" w:hAnsi="Arial" w:cs="Arial"/>
                </w:rPr>
                <w:t>holding</w:t>
              </w:r>
            </w:hyperlink>
            <w:r w:rsidRPr="00E45288">
              <w:rPr>
                <w:rFonts w:ascii="Arial" w:hAnsi="Arial" w:cs="Arial"/>
                <w:color w:val="333333"/>
              </w:rPr>
              <w:t>)</w:t>
            </w:r>
            <w:proofErr w:type="gramStart"/>
            <w:r w:rsidRPr="00E45288">
              <w:rPr>
                <w:rFonts w:ascii="Arial" w:hAnsi="Arial" w:cs="Arial"/>
                <w:color w:val="333333"/>
              </w:rPr>
              <w:t xml:space="preserve">  </w:t>
            </w:r>
            <w:proofErr w:type="gramEnd"/>
            <w:r w:rsidRPr="00E45288">
              <w:rPr>
                <w:rFonts w:ascii="Arial" w:hAnsi="Arial" w:cs="Arial"/>
                <w:color w:val="333333"/>
              </w:rPr>
              <w:t xml:space="preserve">compõem sua receita bruta para fins de apuração do PIS e da </w:t>
            </w:r>
            <w:proofErr w:type="spellStart"/>
            <w:r w:rsidRPr="00E45288">
              <w:rPr>
                <w:rFonts w:ascii="Arial" w:hAnsi="Arial" w:cs="Arial"/>
                <w:color w:val="333333"/>
              </w:rPr>
              <w:t>Cofins</w:t>
            </w:r>
            <w:proofErr w:type="spellEnd"/>
            <w:r w:rsidRPr="00E45288">
              <w:rPr>
                <w:rFonts w:ascii="Arial" w:hAnsi="Arial" w:cs="Arial"/>
                <w:color w:val="333333"/>
              </w:rPr>
              <w:t xml:space="preserve"> devidas no regime de apuração cumulativa.</w:t>
            </w:r>
          </w:p>
          <w:p w:rsidR="00BC1CEA" w:rsidRDefault="00BC1CEA" w:rsidP="00BC1CEA">
            <w:pPr>
              <w:pStyle w:val="NormalWeb"/>
              <w:jc w:val="both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E45288" w:rsidTr="0065405E">
        <w:tc>
          <w:tcPr>
            <w:tcW w:w="8755" w:type="dxa"/>
          </w:tcPr>
          <w:p w:rsid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u w:val="single"/>
              </w:rPr>
            </w:pPr>
            <w:r w:rsidRPr="00E45288">
              <w:rPr>
                <w:rFonts w:ascii="Helvetica" w:hAnsi="Helvetica" w:cs="Helvetica"/>
                <w:b/>
                <w:color w:val="333333"/>
                <w:sz w:val="21"/>
                <w:szCs w:val="21"/>
                <w:u w:val="single"/>
              </w:rPr>
              <w:t>EMENTA</w:t>
            </w:r>
            <w:r>
              <w:rPr>
                <w:rFonts w:ascii="Helvetica" w:hAnsi="Helvetica" w:cs="Helvetica"/>
                <w:b/>
                <w:color w:val="333333"/>
                <w:sz w:val="21"/>
                <w:szCs w:val="21"/>
                <w:u w:val="single"/>
              </w:rPr>
              <w:t xml:space="preserve"> RECEITA FEDERAL DO BRASIL</w:t>
            </w:r>
            <w:r w:rsidRPr="00E45288">
              <w:rPr>
                <w:rFonts w:ascii="Helvetica" w:hAnsi="Helvetica" w:cs="Helvetica"/>
                <w:b/>
                <w:color w:val="333333"/>
                <w:sz w:val="21"/>
                <w:szCs w:val="21"/>
                <w:u w:val="single"/>
              </w:rPr>
              <w:t>: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“ASSUNTO: CONTRIBUIÇÃO PARA O FINANCIAMENTO DA SEGURIDADE SOCIAL – COFINS EMENTA: REGIME DE APURAÇÃO CUMULATIVA. BASE DE CÁLCULO. FATURAMENTO. RECEITA BRUTA. PARTICIPAÇÃO EM OUTRAS SOCIEDADES. JUROS SOBRE CAPITAL PRÓPRIO. A partir da publicação da Lei nº 11.941, de 2009, ocorrida em 28 de maio de 2009, a base de cálculo da Contribuição para o PIS/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Pasep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e da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Cofins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 regime de apuração cumulativa ficou restrita ao faturamento auferido pela pessoa jurídica, que corresponde à receita bruta de que trata o art. 12 do Decreto-Lei nº 1.598, de 26 de dezembro de 1977, nos termos do art. 2º e caput do art. 3º da Lei nº 9.718, de 1998; A receita bruta sujeita à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Cofins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compreende as receitas oriundas do exercício de todas as atividades empresariais da pessoa jurídica, e não apenas aquelas decorrentes da venda de mercadorias e da prestação de serviços. As receitas decorrentes do recebimento de juros sobre o capital próprio auferidas por pessoa jurídica cujo objeto social seja a participação no capital social de outras sociedades compõem sua receita bruta para fins de apuração da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Cofins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devidas no regime de apuração cumulativa. DISPOSITIVOS LEGAIS: Lei n° 9.718,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arts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2º e 3º, caput; Lei Complementar nº 70, de 1991,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arts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 2º e 3º; Decreto-Lei nº 1.598, de 26 de dezembro de 1977, art. 12”.</w:t>
            </w:r>
          </w:p>
          <w:p w:rsidR="00631843" w:rsidRDefault="00631843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</w:pPr>
          </w:p>
          <w:p w:rsid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“ASSUNTO: CONTRIBUIÇÃO PARA O PIS/PASEP EMENTA: REGIME DE APURAÇÃO CUMULATIVA. BASE DE CÁLCULO. FATURAMENTO. RECEITA BRUTA. PARTICIPAÇÃO EM OUTRAS SOCIEDADES. JUROS SOBRE CAPITAL PRÓPRIO. A partir da publicação da Lei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nº11.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941, de 2009, ocorrida em 28 de maio de 2009, a base de cálculo da Contribuição para o PIS/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Pasep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e da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Cofins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 regime de apuração cumulativa ficou restrita ao faturamento auferido pela pessoa jurídica, que corresponde à receita bruta de que trata o art. 12 do Decreto-Lei nº 1.598, de 26 de dezembro de 1977, nos termos do art. 2º e caput do art. 3º da Lei nº 9.718, de 1998; A receita bruta sujeita à Contribuição para o PIS/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Pasep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compreende as receitas oriundas do exercício de todas as atividades empresariais da pessoa jurídica, e não apenas aquelas decorrentes da venda de mercadorias e da prestação de serviços. As receitas decorrentes do recebimento de juros sobre o capital próprio auferidas por pessoa jurídica cujo objeto social seja a participação no capital social de outras sociedades compõem sua receita bruta para fins de apuração da Contribuição para o PIS/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Pasep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devidas no regime de apuração cumulativa. DISPOSITIVOS LEGAIS: Lei n° 9.718,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arts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.2º e 3º, caput; Lei n° 9.715, de 1998,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arts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.2º, I, e 3º; Lei Complementar nº 7, de 1970, art.3º; Decreto-Lei nº 1.598, de 26 de dezembro de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1977, art. 12”.</w:t>
            </w:r>
          </w:p>
          <w:p w:rsidR="00E45288" w:rsidRPr="00E45288" w:rsidRDefault="00E45288" w:rsidP="00E4528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</w:tbl>
    <w:p w:rsidR="001B75F3" w:rsidRPr="007059DE" w:rsidRDefault="001B75F3" w:rsidP="001B75F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B75F3" w:rsidTr="000814E7">
        <w:tc>
          <w:tcPr>
            <w:tcW w:w="8644" w:type="dxa"/>
          </w:tcPr>
          <w:p w:rsidR="001B75F3" w:rsidRDefault="001B75F3" w:rsidP="000814E7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1B75F3" w:rsidRDefault="001B75F3" w:rsidP="000814E7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ITBI – HOLDING:</w:t>
            </w:r>
          </w:p>
          <w:p w:rsidR="001B75F3" w:rsidRDefault="001B75F3" w:rsidP="000814E7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1B75F3" w:rsidTr="000814E7">
        <w:tc>
          <w:tcPr>
            <w:tcW w:w="8644" w:type="dxa"/>
          </w:tcPr>
          <w:p w:rsidR="001B75F3" w:rsidRPr="000B6E3A" w:rsidRDefault="001B75F3" w:rsidP="000814E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P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ode-se</w:t>
            </w:r>
            <w:proofErr w:type="gramEnd"/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 organizar os imóveis em duas holdings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:</w:t>
            </w:r>
          </w:p>
          <w:p w:rsidR="001B75F3" w:rsidRPr="000B6E3A" w:rsidRDefault="001B75F3" w:rsidP="000814E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Cs/>
                <w:caps/>
                <w:kern w:val="36"/>
                <w:sz w:val="24"/>
                <w:szCs w:val="48"/>
                <w:lang w:eastAsia="pt-BR"/>
              </w:rPr>
            </w:pP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U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ma de uso familiar e laser, sobre cuja transferência não incide ITB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I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;</w:t>
            </w:r>
          </w:p>
          <w:p w:rsidR="001B75F3" w:rsidRDefault="001B75F3" w:rsidP="000814E7">
            <w:pPr>
              <w:spacing w:before="100" w:beforeAutospacing="1" w:after="100" w:afterAutospacing="1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O</w:t>
            </w:r>
            <w:r w:rsidRPr="000B6E3A">
              <w:rPr>
                <w:rFonts w:ascii="Arial" w:eastAsia="Times New Roman" w:hAnsi="Arial" w:cs="Arial"/>
                <w:bCs/>
                <w:kern w:val="36"/>
                <w:sz w:val="24"/>
                <w:szCs w:val="48"/>
                <w:lang w:eastAsia="pt-BR"/>
              </w:rPr>
              <w:t>utra sobre os imóveis geradores de renda, sobre cuja transferência incide o ITBI, calculado sobre o valor venal do bem ou valor da avaliação, dentre eles o maior.</w:t>
            </w:r>
          </w:p>
        </w:tc>
      </w:tr>
    </w:tbl>
    <w:p w:rsidR="001B75F3" w:rsidRPr="007059DE" w:rsidRDefault="001B75F3" w:rsidP="009F2AC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9F2ACE" w:rsidTr="00EA3CF3">
        <w:tc>
          <w:tcPr>
            <w:tcW w:w="8644" w:type="dxa"/>
          </w:tcPr>
          <w:p w:rsidR="009F2ACE" w:rsidRDefault="009F2ACE" w:rsidP="00EA3CF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9F2ACE" w:rsidRDefault="009F2ACE" w:rsidP="00EA3CF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ITBI - </w:t>
            </w:r>
            <w:r w:rsidRPr="009F2ACE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Imposto sobre a transmissão de Bens Imóveis -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 </w:t>
            </w:r>
            <w:r w:rsidRPr="009F2ACE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Lei municipal 2.592/1989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 – Alíquota 2%.</w:t>
            </w:r>
          </w:p>
          <w:p w:rsidR="009F2ACE" w:rsidRDefault="009F2ACE" w:rsidP="00EA3CF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9F2ACE" w:rsidTr="00EA3CF3">
        <w:tc>
          <w:tcPr>
            <w:tcW w:w="8644" w:type="dxa"/>
          </w:tcPr>
          <w:p w:rsidR="009F2ACE" w:rsidRPr="005918BC" w:rsidRDefault="009F2ACE" w:rsidP="009F2AC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5918BC">
              <w:rPr>
                <w:rFonts w:ascii="Arial" w:hAnsi="Arial" w:cs="Arial"/>
                <w:b/>
              </w:rPr>
              <w:t>- O que é o ITBI - Imposto sobre a Transmissão de Bens Imóveis?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É o imposto sobre transmissão "</w:t>
            </w:r>
            <w:proofErr w:type="gramStart"/>
            <w:r w:rsidRPr="009F2ACE">
              <w:rPr>
                <w:rFonts w:ascii="Arial" w:hAnsi="Arial" w:cs="Arial"/>
              </w:rPr>
              <w:t>inter vivos</w:t>
            </w:r>
            <w:proofErr w:type="gramEnd"/>
            <w:r w:rsidRPr="009F2ACE">
              <w:rPr>
                <w:rFonts w:ascii="Arial" w:hAnsi="Arial" w:cs="Arial"/>
              </w:rPr>
              <w:t xml:space="preserve">" por ato oneroso de bens imóveis ou direitos reais a eles relativos. 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 xml:space="preserve"> </w:t>
            </w:r>
          </w:p>
          <w:p w:rsidR="009F2ACE" w:rsidRPr="005918BC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918BC">
              <w:rPr>
                <w:rFonts w:ascii="Arial" w:hAnsi="Arial" w:cs="Arial"/>
                <w:b/>
              </w:rPr>
              <w:t>- Quem são os contribuintes do ITBI?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O recolhimento do ITBI ao Município é feito pelo adquirente ou cessionário do bem ou direito, podendo ser efetuado também, pelo cedente ou transmitente como responsável. No caso especial de permuta (troca de imóveis) o ITBI passa a incidir sobre o valor de cada um dos bens permutados.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 xml:space="preserve"> </w:t>
            </w:r>
          </w:p>
          <w:p w:rsidR="009F2ACE" w:rsidRPr="005918BC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918BC">
              <w:rPr>
                <w:rFonts w:ascii="Arial" w:hAnsi="Arial" w:cs="Arial"/>
                <w:b/>
              </w:rPr>
              <w:t>Quando é necessário pagar o ITBI?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O recolhimento do ITBI pode acontecer em três diferentes instantes: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·Antecipadamente até a data da lavratura do instrumento que servir de base à transmissão quando realizada em Campo Grande;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·Até 30 dias após o trânsito em julgado, no caso de decisão judicial;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 xml:space="preserve">·Até 30 dias após a lavratura do documento de transmissão, quando realizado fora do Município de Campo Grande. 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9F2ACE" w:rsidRPr="005918BC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918BC">
              <w:rPr>
                <w:rFonts w:ascii="Arial" w:hAnsi="Arial" w:cs="Arial"/>
                <w:b/>
              </w:rPr>
              <w:t>Quantos por cento do valor do imóvel o contribuinte paga de ITBI?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 xml:space="preserve">A alíquota do ITBI é calculada em 2% sobre o valor do imóvel, ou seja, das transações realizadas em geral. 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9F2ACE" w:rsidRPr="005918BC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918BC">
              <w:rPr>
                <w:rFonts w:ascii="Arial" w:hAnsi="Arial" w:cs="Arial"/>
                <w:b/>
              </w:rPr>
              <w:t>Qual a base de cálculo na avaliação para pagamento do ITBI?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 xml:space="preserve">A base de cálculo do ITBI é feita sobre o preço de mercado do bem imóvel, inclusive benfeitoria, que é avaliada pela Administração Tributária no mês de </w:t>
            </w:r>
            <w:r w:rsidRPr="009F2ACE">
              <w:rPr>
                <w:rFonts w:ascii="Arial" w:hAnsi="Arial" w:cs="Arial"/>
              </w:rPr>
              <w:lastRenderedPageBreak/>
              <w:t xml:space="preserve">pagamento. 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9F2ACE" w:rsidRPr="005918BC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918BC">
              <w:rPr>
                <w:rFonts w:ascii="Arial" w:hAnsi="Arial" w:cs="Arial"/>
                <w:b/>
              </w:rPr>
              <w:t>Quais imóveis tem imunidade de ITBI?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·Imóveis pertencentes à União, Distrito Federal e Município;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·Imóveis pertencentes a templos de qualquer culto;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>·Imóveis pertencentes a partidos políticos, inclusive suas fundações; entidades sindicais dos trabalhadores;</w:t>
            </w:r>
          </w:p>
          <w:p w:rsid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2ACE">
              <w:rPr>
                <w:rFonts w:ascii="Arial" w:hAnsi="Arial" w:cs="Arial"/>
              </w:rPr>
              <w:t xml:space="preserve">·das instituições de educação e de assistência social sem fins lucrativos. </w:t>
            </w:r>
          </w:p>
          <w:p w:rsidR="009F2ACE" w:rsidRPr="009F2ACE" w:rsidRDefault="009F2ACE" w:rsidP="009F2A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503E6B" w:rsidRPr="007059DE" w:rsidRDefault="00503E6B" w:rsidP="00503E6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48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03E6B" w:rsidTr="00947464">
        <w:tc>
          <w:tcPr>
            <w:tcW w:w="8644" w:type="dxa"/>
          </w:tcPr>
          <w:p w:rsidR="00503E6B" w:rsidRDefault="00503E6B" w:rsidP="009474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  <w:p w:rsidR="00503E6B" w:rsidRDefault="00503E6B" w:rsidP="009474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ITCD - Imposto sobre a transmissão Causa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Mortis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 xml:space="preserve"> e Doação – Lei Estadual </w:t>
            </w:r>
            <w:r w:rsidR="003F61BC" w:rsidRPr="003F61BC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nº 1</w:t>
            </w:r>
            <w:r w:rsidR="003F61BC"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  <w:t>.810/1997.</w:t>
            </w:r>
          </w:p>
          <w:p w:rsidR="00503E6B" w:rsidRDefault="00503E6B" w:rsidP="0094746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48"/>
                <w:lang w:eastAsia="pt-BR"/>
              </w:rPr>
            </w:pPr>
          </w:p>
        </w:tc>
      </w:tr>
      <w:tr w:rsidR="00503E6B" w:rsidTr="00947464">
        <w:tc>
          <w:tcPr>
            <w:tcW w:w="8644" w:type="dxa"/>
          </w:tcPr>
          <w:p w:rsidR="00503E6B" w:rsidRDefault="00503E6B" w:rsidP="0094746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5918B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03E6B">
              <w:rPr>
                <w:b/>
              </w:rPr>
              <w:t>INCIDÊNCIA DO ITCD ALCANÇA AS SEGUINTES MUTAÇÕES PATRIMONIAIS/OPERAÇÕES:</w:t>
            </w:r>
          </w:p>
          <w:p w:rsidR="00503E6B" w:rsidRDefault="00503E6B" w:rsidP="0094746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  <w:p w:rsidR="00503E6B" w:rsidRPr="00503E6B" w:rsidRDefault="00503E6B" w:rsidP="001B75F3">
            <w:pPr>
              <w:pStyle w:val="NormalWeb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>a) sucessão legítima e testamentária, inclusive na instituição e substituição do objeto do fideicomisso;</w:t>
            </w:r>
          </w:p>
          <w:p w:rsidR="00503E6B" w:rsidRPr="00503E6B" w:rsidRDefault="00503E6B" w:rsidP="003F61BC">
            <w:pPr>
              <w:pStyle w:val="NormalWeb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>b) na cessão, renúncia ou desistência, em favor de pessoa determinada ou quando já praticado algum ato de aceitação de herança, considerando o disposto no art.1807 do Código Civil;</w:t>
            </w:r>
          </w:p>
          <w:p w:rsidR="00503E6B" w:rsidRPr="00503E6B" w:rsidRDefault="00503E6B" w:rsidP="00503E6B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>c) doação, ainda que a título de adiantamento da legítima, seja de bens e/ou de numerários;</w:t>
            </w:r>
          </w:p>
          <w:p w:rsidR="00503E6B" w:rsidRPr="00503E6B" w:rsidRDefault="00503E6B" w:rsidP="00503E6B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>d) instituição de usufruto por ato não oneroso, extinção deste por falecimento do usufrutuário ou retorno ao nu proprietário, renúncia, observando que deve restar anotado na matrícula o número da guia de ITCD pela qual fora recolhido o ITCD/instituição de usufruto;</w:t>
            </w:r>
          </w:p>
          <w:p w:rsidR="00503E6B" w:rsidRPr="00503E6B" w:rsidRDefault="00503E6B" w:rsidP="00503E6B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>e) na desigualdade de valores da partilha, como a decorrente de inventário, arrolamento, separação ou divórcio;</w:t>
            </w:r>
          </w:p>
          <w:p w:rsidR="00503E6B" w:rsidRPr="00503E6B" w:rsidRDefault="00503E6B" w:rsidP="00503E6B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 xml:space="preserve">f) aquisição de quaisquer bens por menores, estudantes, incapazes, </w:t>
            </w:r>
            <w:proofErr w:type="spellStart"/>
            <w:r w:rsidRPr="00503E6B">
              <w:rPr>
                <w:rFonts w:ascii="Arial" w:hAnsi="Arial" w:cs="Arial"/>
              </w:rPr>
              <w:t>etc</w:t>
            </w:r>
            <w:proofErr w:type="spellEnd"/>
            <w:r w:rsidRPr="00503E6B">
              <w:rPr>
                <w:rFonts w:ascii="Arial" w:hAnsi="Arial" w:cs="Arial"/>
              </w:rPr>
              <w:t xml:space="preserve"> com dinheiro dos pais e/ou outros, por exemplo, é fato gerador de ITCD e deverá ser preenchida a guia eletrônica para o devido recolhimento do ITCD doação, antes do registro em matrícula;</w:t>
            </w:r>
          </w:p>
          <w:p w:rsidR="00503E6B" w:rsidRDefault="00503E6B" w:rsidP="00503E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3E6B">
              <w:rPr>
                <w:rFonts w:ascii="Arial" w:hAnsi="Arial" w:cs="Arial"/>
              </w:rPr>
              <w:t xml:space="preserve">g) o registro ou arquivamento de qualquer ato relativo à constituição, alteração, dissolução e extinção de pessoa jurídica e de empresário, que implique transmissão não onerosa de bens ou direitos, realizado </w:t>
            </w:r>
            <w:proofErr w:type="gramStart"/>
            <w:r w:rsidRPr="00503E6B">
              <w:rPr>
                <w:rFonts w:ascii="Arial" w:hAnsi="Arial" w:cs="Arial"/>
              </w:rPr>
              <w:t>perante a</w:t>
            </w:r>
            <w:proofErr w:type="gramEnd"/>
            <w:r w:rsidRPr="00503E6B">
              <w:rPr>
                <w:rFonts w:ascii="Arial" w:hAnsi="Arial" w:cs="Arial"/>
              </w:rPr>
              <w:t xml:space="preserve"> JUCEMS.</w:t>
            </w:r>
          </w:p>
          <w:p w:rsidR="00503E6B" w:rsidRPr="009F2ACE" w:rsidRDefault="00503E6B" w:rsidP="00503E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503E6B" w:rsidTr="00947464">
        <w:tc>
          <w:tcPr>
            <w:tcW w:w="8644" w:type="dxa"/>
          </w:tcPr>
          <w:p w:rsidR="00503E6B" w:rsidRDefault="00503E6B" w:rsidP="00503E6B">
            <w:pPr>
              <w:jc w:val="center"/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</w:pPr>
          </w:p>
          <w:p w:rsidR="00503E6B" w:rsidRPr="00503E6B" w:rsidRDefault="00503E6B" w:rsidP="00503E6B">
            <w:pPr>
              <w:jc w:val="center"/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</w:pPr>
            <w:r w:rsidRPr="00503E6B"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  <w:lastRenderedPageBreak/>
              <w:t>METODOLOGIA PARA AVALIAÇÃO</w:t>
            </w:r>
            <w:r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  <w:t>:</w:t>
            </w:r>
          </w:p>
          <w:p w:rsidR="00503E6B" w:rsidRDefault="00503E6B" w:rsidP="00503E6B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Em Mato Grosso do Sul o </w:t>
            </w:r>
            <w:r w:rsidRPr="001B75F3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>ITCD,</w:t>
            </w: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como padrão de avaliação é adotado o preço médio de mercado. </w:t>
            </w: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Para tanto, no tocante aos imóveis </w:t>
            </w:r>
            <w:r w:rsidRPr="001B75F3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 xml:space="preserve">rurais </w:t>
            </w: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utiliza-se os valores pautados por hectare/terra nua, por microrregião, resultantes de uma média obtida através de pesquisas de preços em sites especializados, acrescido de percentual para benfeitorias, com base em análise procedida no ITR. </w:t>
            </w: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Já para os </w:t>
            </w:r>
            <w:r w:rsidRPr="001B75F3">
              <w:rPr>
                <w:rFonts w:ascii="Arial" w:eastAsia="Times New Roman" w:hAnsi="Arial" w:cs="Arial"/>
                <w:b/>
                <w:sz w:val="24"/>
                <w:szCs w:val="28"/>
                <w:lang w:eastAsia="pt-BR"/>
              </w:rPr>
              <w:t>urbanos,</w:t>
            </w: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</w:t>
            </w:r>
            <w:proofErr w:type="gramStart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utiliza-se</w:t>
            </w:r>
            <w:proofErr w:type="gramEnd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como padrão de cálculo os valores divulgados por bairros e/ou ruas para m² de terrenos, chácaras, </w:t>
            </w:r>
            <w:proofErr w:type="spellStart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etc</w:t>
            </w:r>
            <w:proofErr w:type="spellEnd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pelo </w:t>
            </w:r>
            <w:proofErr w:type="spellStart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Infoimóveis</w:t>
            </w:r>
            <w:proofErr w:type="spellEnd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, Câmara de Valores Imobiliários, Folha Imóveis, Imóvel &amp; CIA, jornais locais e etc.</w:t>
            </w: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E para a área construída, utiliza-se o CUB mensal, divulgado pelo </w:t>
            </w:r>
            <w:proofErr w:type="spellStart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Sinduscon</w:t>
            </w:r>
            <w:proofErr w:type="spellEnd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/MS e aplicado, se for o caso, o índice de depreciação por anos de construção da Tabela Ross </w:t>
            </w:r>
            <w:proofErr w:type="spellStart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Heidecke</w:t>
            </w:r>
            <w:proofErr w:type="spellEnd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.</w:t>
            </w: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</w:p>
          <w:p w:rsidR="00503E6B" w:rsidRPr="001B75F3" w:rsidRDefault="00503E6B" w:rsidP="00503E6B">
            <w:pPr>
              <w:jc w:val="both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Em relação a ações, valores divulgados por indicadores econômicos; para semoventes e grãos, valor real pesquisado no site/SEFAZ; para maquinários e implementos agrícolas, valores médios divulgados em sites especializados, para veículos, valor atual do IPVA/MS ou Tabela </w:t>
            </w:r>
            <w:proofErr w:type="spellStart"/>
            <w:proofErr w:type="gramStart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Fipe</w:t>
            </w:r>
            <w:proofErr w:type="spellEnd"/>
            <w:proofErr w:type="gramEnd"/>
            <w:r w:rsidRPr="001B75F3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 e Web Motors para veículos com idade superior a 15 anos.</w:t>
            </w:r>
          </w:p>
          <w:p w:rsidR="00503E6B" w:rsidRPr="005918BC" w:rsidRDefault="00503E6B" w:rsidP="0094746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</w:tr>
      <w:tr w:rsidR="003F61BC" w:rsidTr="00947464">
        <w:tc>
          <w:tcPr>
            <w:tcW w:w="8644" w:type="dxa"/>
          </w:tcPr>
          <w:p w:rsidR="003F61BC" w:rsidRDefault="003F61BC" w:rsidP="00503E6B">
            <w:pPr>
              <w:jc w:val="center"/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</w:pPr>
          </w:p>
          <w:p w:rsidR="003F61BC" w:rsidRDefault="003F61BC" w:rsidP="00503E6B">
            <w:pPr>
              <w:jc w:val="center"/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  <w:t>ALÍQUOTAS DO ITCD:</w:t>
            </w:r>
          </w:p>
          <w:p w:rsidR="003F61BC" w:rsidRPr="003F61BC" w:rsidRDefault="003F61BC" w:rsidP="00503E6B">
            <w:pPr>
              <w:jc w:val="center"/>
              <w:rPr>
                <w:rFonts w:ascii="Arial" w:eastAsia="Times New Roman" w:hAnsi="Arial" w:cs="Arial"/>
                <w:b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  <w:lang w:eastAsia="pt-BR"/>
              </w:rPr>
              <w:t>Lei Estadual nº 1.810/1997</w:t>
            </w:r>
          </w:p>
          <w:p w:rsidR="003F61BC" w:rsidRDefault="003F61BC" w:rsidP="003F61BC">
            <w:pPr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</w:pPr>
          </w:p>
          <w:p w:rsidR="003F61BC" w:rsidRDefault="003F61BC" w:rsidP="003F61BC">
            <w:pPr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Art. 126, (...)</w:t>
            </w:r>
          </w:p>
          <w:p w:rsidR="003F61BC" w:rsidRPr="003F61BC" w:rsidRDefault="003F61BC" w:rsidP="003F61BC">
            <w:pPr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b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b/>
                <w:sz w:val="24"/>
                <w:szCs w:val="56"/>
                <w:lang w:eastAsia="pt-BR"/>
              </w:rPr>
              <w:t>São isentas do ITCD: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b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I - as doações de bens e direitos cujos valores não ultrapassem R$ 50.000,00 (cinquenta mil reais)</w:t>
            </w:r>
            <w:r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;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II - as transmissões causa </w:t>
            </w:r>
            <w:proofErr w:type="spellStart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mortis</w:t>
            </w:r>
            <w:proofErr w:type="spellEnd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 de bem imóvel: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a) sendo rural, sua área não ultrapasse o módulo da região e seja destinado aos herdeiros;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b) sendo urbano, apresente construção residencial de padrão popular ou inferior e seja utilizada como habitação dos herdeiros;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III - as transmissões causa </w:t>
            </w:r>
            <w:proofErr w:type="spellStart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mortis</w:t>
            </w:r>
            <w:proofErr w:type="spellEnd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 de bens e direitos cujos valores não ultrapassem R$ 50.000,00 (cinquenta mil reais).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§ 1º No caso de doações sucessivas, a isenção prevista no inciso I do caput deste artigo não se aplica àquelas que ocorrerem após os valores das </w:t>
            </w: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lastRenderedPageBreak/>
              <w:t>doações anteriores, que, somados, atingirem o limite nele estabelecido, observado o disposto nos §§ 2º e 3º deste artigo.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§ 2º Para efeito do § 1º deste artigo: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I - são sucessivas, quando mais de uma, as doações entre o mesmo doador e o mesmo donatário, realizadas no período de doze meses;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II - o período de doze meses a que se refere o inciso I deste parágrafo inicia-se, conforme o caso: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a) na data da ocorrência de primeira doação, em valor inferior ao limite; </w:t>
            </w:r>
            <w:proofErr w:type="gramStart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ou</w:t>
            </w:r>
            <w:proofErr w:type="gramEnd"/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b) na data da primeira doação, em valor inferior ao limite, que ocorrer após o encerramento de período anterior em que tenham sido feitas doações sucessivas.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§ 3º Nos casos em que, nas doações sucessivas, para atingir o limite previsto no caput deste artigo, depender de parcela do valor da doação subsequente, o imposto relativo a essa doação será devido sobre o valor que exceder essa parcela.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§ </w:t>
            </w:r>
            <w:proofErr w:type="gramStart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4º O limite previsto nos incisos I e III do caput deste artigo aplica-se em relação a cada doação ou transmissão causa </w:t>
            </w:r>
            <w:proofErr w:type="spellStart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mortis</w:t>
            </w:r>
            <w:proofErr w:type="spellEnd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, independentemente de quantos forem os herdeiros, os legatários ou os donatários."</w:t>
            </w:r>
            <w:proofErr w:type="gramEnd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 (NR)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Art. 129. </w:t>
            </w:r>
            <w:r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(</w:t>
            </w: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...</w:t>
            </w:r>
            <w:r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)</w:t>
            </w: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: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 xml:space="preserve">I - seis por cento, nos casos de transmissão causa </w:t>
            </w:r>
            <w:proofErr w:type="spellStart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mortis</w:t>
            </w:r>
            <w:proofErr w:type="spellEnd"/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;</w:t>
            </w: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</w:p>
          <w:p w:rsidR="003F61BC" w:rsidRPr="003F61BC" w:rsidRDefault="003F61BC" w:rsidP="003F61BC">
            <w:pPr>
              <w:jc w:val="both"/>
              <w:rPr>
                <w:rFonts w:ascii="Arial" w:eastAsia="Times New Roman" w:hAnsi="Arial" w:cs="Arial"/>
                <w:sz w:val="24"/>
                <w:szCs w:val="56"/>
                <w:lang w:eastAsia="pt-BR"/>
              </w:rPr>
            </w:pPr>
            <w:r w:rsidRPr="003F61BC"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II - três por cento, nas hipóteses de doação de q</w:t>
            </w:r>
            <w:r>
              <w:rPr>
                <w:rFonts w:ascii="Arial" w:eastAsia="Times New Roman" w:hAnsi="Arial" w:cs="Arial"/>
                <w:sz w:val="24"/>
                <w:szCs w:val="56"/>
                <w:lang w:eastAsia="pt-BR"/>
              </w:rPr>
              <w:t>uaisquer bens ou direitos.</w:t>
            </w:r>
          </w:p>
          <w:p w:rsidR="003F61BC" w:rsidRDefault="003F61BC" w:rsidP="00503E6B">
            <w:pPr>
              <w:jc w:val="center"/>
              <w:rPr>
                <w:rFonts w:ascii="Arial" w:eastAsia="Times New Roman" w:hAnsi="Arial" w:cs="Arial"/>
                <w:b/>
                <w:sz w:val="28"/>
                <w:szCs w:val="56"/>
                <w:lang w:eastAsia="pt-BR"/>
              </w:rPr>
            </w:pPr>
          </w:p>
        </w:tc>
      </w:tr>
    </w:tbl>
    <w:p w:rsidR="00BC1CEA" w:rsidRDefault="00BC1CEA" w:rsidP="009F2A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sectPr w:rsidR="00BC1CEA" w:rsidSect="00A5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58E"/>
    <w:multiLevelType w:val="multilevel"/>
    <w:tmpl w:val="82F6B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A70DB"/>
    <w:multiLevelType w:val="multilevel"/>
    <w:tmpl w:val="9B52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724"/>
    <w:rsid w:val="00002988"/>
    <w:rsid w:val="00046592"/>
    <w:rsid w:val="00054637"/>
    <w:rsid w:val="00091699"/>
    <w:rsid w:val="000B6E3A"/>
    <w:rsid w:val="0014263C"/>
    <w:rsid w:val="001B75F3"/>
    <w:rsid w:val="001E6DCB"/>
    <w:rsid w:val="001F5267"/>
    <w:rsid w:val="0038468E"/>
    <w:rsid w:val="003F61BC"/>
    <w:rsid w:val="00454AEF"/>
    <w:rsid w:val="00464993"/>
    <w:rsid w:val="004E2E8C"/>
    <w:rsid w:val="00503E6B"/>
    <w:rsid w:val="00525987"/>
    <w:rsid w:val="005277C0"/>
    <w:rsid w:val="00527CC7"/>
    <w:rsid w:val="00571FD1"/>
    <w:rsid w:val="005878AE"/>
    <w:rsid w:val="005918BC"/>
    <w:rsid w:val="00614F7F"/>
    <w:rsid w:val="00631843"/>
    <w:rsid w:val="006833D3"/>
    <w:rsid w:val="007059DE"/>
    <w:rsid w:val="0071424B"/>
    <w:rsid w:val="007728CC"/>
    <w:rsid w:val="00792E21"/>
    <w:rsid w:val="00926719"/>
    <w:rsid w:val="00960C28"/>
    <w:rsid w:val="00993AC4"/>
    <w:rsid w:val="00994ECA"/>
    <w:rsid w:val="00997724"/>
    <w:rsid w:val="009C166C"/>
    <w:rsid w:val="009F2ACE"/>
    <w:rsid w:val="00A02D16"/>
    <w:rsid w:val="00A54969"/>
    <w:rsid w:val="00A80E08"/>
    <w:rsid w:val="00AC37DD"/>
    <w:rsid w:val="00B026B0"/>
    <w:rsid w:val="00BC1CEA"/>
    <w:rsid w:val="00BF25A1"/>
    <w:rsid w:val="00C016E8"/>
    <w:rsid w:val="00C260E9"/>
    <w:rsid w:val="00C826F3"/>
    <w:rsid w:val="00CE186E"/>
    <w:rsid w:val="00D4327F"/>
    <w:rsid w:val="00D85AEE"/>
    <w:rsid w:val="00D87893"/>
    <w:rsid w:val="00DC1802"/>
    <w:rsid w:val="00E45288"/>
    <w:rsid w:val="00F17A3D"/>
    <w:rsid w:val="00F75873"/>
    <w:rsid w:val="00F84589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99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7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breadcrumb-navigation">
    <w:name w:val="breadcrumb-navigation"/>
    <w:basedOn w:val="Normal"/>
    <w:rsid w:val="009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724"/>
    <w:rPr>
      <w:color w:val="0000FF"/>
      <w:u w:val="single"/>
    </w:rPr>
  </w:style>
  <w:style w:type="paragraph" w:customStyle="1" w:styleId="post-meta">
    <w:name w:val="post-meta"/>
    <w:basedOn w:val="Normal"/>
    <w:rsid w:val="009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info-author">
    <w:name w:val="post-info-author"/>
    <w:basedOn w:val="Fontepargpadro"/>
    <w:rsid w:val="00997724"/>
  </w:style>
  <w:style w:type="character" w:customStyle="1" w:styleId="post-info-date">
    <w:name w:val="post-info-date"/>
    <w:basedOn w:val="Fontepargpadro"/>
    <w:rsid w:val="00997724"/>
  </w:style>
  <w:style w:type="character" w:customStyle="1" w:styleId="post-info-comments">
    <w:name w:val="post-info-comments"/>
    <w:basedOn w:val="Fontepargpadro"/>
    <w:rsid w:val="00997724"/>
  </w:style>
  <w:style w:type="character" w:customStyle="1" w:styleId="post-info-category">
    <w:name w:val="post-info-category"/>
    <w:basedOn w:val="Fontepargpadro"/>
    <w:rsid w:val="00997724"/>
  </w:style>
  <w:style w:type="character" w:customStyle="1" w:styleId="post-info-tags">
    <w:name w:val="post-info-tags"/>
    <w:basedOn w:val="Fontepargpadro"/>
    <w:rsid w:val="00997724"/>
  </w:style>
  <w:style w:type="paragraph" w:styleId="NormalWeb">
    <w:name w:val="Normal (Web)"/>
    <w:basedOn w:val="Normal"/>
    <w:uiPriority w:val="99"/>
    <w:unhideWhenUsed/>
    <w:rsid w:val="009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7724"/>
    <w:rPr>
      <w:b/>
      <w:bCs/>
    </w:rPr>
  </w:style>
  <w:style w:type="table" w:styleId="Tabelacomgrade">
    <w:name w:val="Table Grid"/>
    <w:basedOn w:val="Tabelanormal"/>
    <w:uiPriority w:val="59"/>
    <w:rsid w:val="0099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ldingfamiliar.net/definicoes-de-hold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2824</Words>
  <Characters>15253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41</cp:revision>
  <dcterms:created xsi:type="dcterms:W3CDTF">2016-10-19T11:47:00Z</dcterms:created>
  <dcterms:modified xsi:type="dcterms:W3CDTF">2016-10-20T13:00:00Z</dcterms:modified>
</cp:coreProperties>
</file>