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shape style="position:absolute;margin-left:18pt;margin-top:768.280029pt;width:559.2pt;height:54.72pt;mso-position-horizontal-relative:page;mso-position-vertical-relative:page;z-index:-10696" type="#_x0000_t75" stroked="false">
            <v:imagedata r:id="rId6" o:title=""/>
            <w10:wrap type="none"/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7103508" cy="810958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508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Heading1"/>
        <w:spacing w:line="240" w:lineRule="auto"/>
        <w:ind w:left="1722" w:right="4951"/>
        <w:jc w:val="left"/>
        <w:rPr>
          <w:b w:val="0"/>
          <w:bCs w:val="0"/>
        </w:rPr>
      </w:pPr>
      <w:r>
        <w:rPr/>
        <w:t>EXMO. SR. DR. JUIZ DE</w:t>
      </w:r>
      <w:r>
        <w:rPr>
          <w:spacing w:val="-20"/>
        </w:rPr>
        <w:t> </w:t>
      </w:r>
      <w:r>
        <w:rPr/>
        <w:t>DIREITO </w:t>
      </w:r>
      <w:r>
        <w:rPr/>
        <w:t>5º JUIZADO ESPECIAL CÍVEL CURITIBA /</w:t>
      </w:r>
      <w:r>
        <w:rPr>
          <w:spacing w:val="-12"/>
        </w:rPr>
        <w:t> </w:t>
      </w:r>
      <w:r>
        <w:rPr/>
        <w:t>PR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before="0"/>
        <w:ind w:left="1722" w:right="0" w:firstLine="0"/>
        <w:jc w:val="left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Processo nº</w:t>
      </w:r>
      <w:r>
        <w:rPr>
          <w:rFonts w:ascii="Verdana" w:hAnsi="Verdana"/>
          <w:spacing w:val="-17"/>
          <w:sz w:val="26"/>
        </w:rPr>
        <w:t> </w:t>
      </w:r>
      <w:r>
        <w:rPr>
          <w:rFonts w:ascii="Verdana" w:hAnsi="Verdana"/>
          <w:b/>
          <w:sz w:val="26"/>
        </w:rPr>
        <w:t>0003655-40.2011.8.16.0012</w:t>
      </w:r>
      <w:r>
        <w:rPr>
          <w:rFonts w:ascii="Verdana" w:hAnsi="Verdana"/>
          <w:sz w:val="26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9"/>
        <w:rPr>
          <w:rFonts w:ascii="Verdana" w:hAnsi="Verdana" w:cs="Verdana" w:eastAsia="Verdana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left="1722" w:right="492"/>
        <w:jc w:val="both"/>
      </w:pPr>
      <w:r>
        <w:rPr>
          <w:rFonts w:ascii="Verdana" w:hAnsi="Verdana"/>
          <w:b/>
        </w:rPr>
        <w:t>CLARO S/A, </w:t>
      </w:r>
      <w:r>
        <w:rPr/>
        <w:t>atual denominação de BCP S/A, sucessora por incorporação da TELET S.A., com sede em São Paulo/SP, na Rua Flórida, nº 1970, inscrita no CNPJ (MF) sob o nº 40.432.544/0001-47 e com filial em Curitiba/PR, na Rua Desembargador Motta, nº 1924, 12º, 13º, 14º e 15º andares, inscrita no CNPJ/MF sob o n.º 40.432.544/0224-69, nos autos da ação que lhe move </w:t>
      </w:r>
      <w:r>
        <w:rPr>
          <w:rFonts w:ascii="Verdana" w:hAnsi="Verdana"/>
          <w:b/>
        </w:rPr>
        <w:t>ALEX DE CARVALHO ALVES</w:t>
      </w:r>
      <w:r>
        <w:rPr/>
        <w:t>, vem, respeitosamente, por seus procuradores firmatários, apresentar </w:t>
      </w:r>
      <w:r>
        <w:rPr>
          <w:rFonts w:ascii="Verdana" w:hAnsi="Verdana"/>
          <w:b/>
        </w:rPr>
        <w:t>CONTESTAÇÃO</w:t>
      </w:r>
      <w:r>
        <w:rPr>
          <w:rFonts w:ascii="Verdana" w:hAnsi="Verdana"/>
          <w:b/>
          <w:i/>
        </w:rPr>
        <w:t>, </w:t>
      </w:r>
      <w:r>
        <w:rPr/>
        <w:t>dizendo e requerendo o </w:t>
      </w:r>
      <w:r>
        <w:rPr>
          <w:spacing w:val="2"/>
        </w:rPr>
        <w:t>que </w:t>
      </w:r>
      <w:r>
        <w:rPr>
          <w:spacing w:val="2"/>
        </w:rPr>
      </w:r>
      <w:r>
        <w:rPr/>
        <w:t>segue:</w: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7"/>
          <w:szCs w:val="27"/>
        </w:rPr>
      </w:pPr>
    </w:p>
    <w:p>
      <w:pPr>
        <w:pStyle w:val="Heading1"/>
        <w:tabs>
          <w:tab w:pos="10904" w:val="left" w:leader="none"/>
        </w:tabs>
        <w:spacing w:line="240" w:lineRule="auto" w:before="53"/>
        <w:ind w:left="1722" w:right="0"/>
        <w:jc w:val="both"/>
        <w:rPr>
          <w:b w:val="0"/>
          <w:bCs w:val="0"/>
        </w:rPr>
      </w:pPr>
      <w:r>
        <w:rPr>
          <w:w w:val="99"/>
        </w:rPr>
      </w:r>
      <w:r>
        <w:rPr>
          <w:shd w:fill="D9D9D9" w:color="auto" w:val="clear"/>
        </w:rPr>
        <w:t>SÍNTESE DA</w:t>
      </w:r>
      <w:r>
        <w:rPr>
          <w:spacing w:val="-11"/>
          <w:shd w:fill="D9D9D9" w:color="auto" w:val="clear"/>
        </w:rPr>
        <w:t> </w:t>
      </w:r>
      <w:r>
        <w:rPr>
          <w:shd w:fill="D9D9D9" w:color="auto" w:val="clear"/>
        </w:rPr>
        <w:t>INICIAL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5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pStyle w:val="BodyText"/>
        <w:spacing w:line="237" w:lineRule="auto"/>
        <w:ind w:left="1722" w:right="495"/>
        <w:jc w:val="both"/>
      </w:pPr>
      <w:r>
        <w:rPr/>
        <w:t>Narra a parte autora que efetuou a compra de um celular Motorola Defy, porém o aparelho apresentou defeito. Ao se dirigir à loja Claro, foi informada que não era possível o conserto do</w:t>
      </w:r>
      <w:r>
        <w:rPr>
          <w:spacing w:val="-26"/>
        </w:rPr>
        <w:t> </w:t>
      </w:r>
      <w:r>
        <w:rPr/>
        <w:t>mesmo.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3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left="1722" w:right="492"/>
        <w:jc w:val="both"/>
      </w:pPr>
      <w:r>
        <w:rPr/>
        <w:t>Diante disso, ajuizou a presente demanda. Contudo, não merece guarida as alegações da parte autora, pelos motivos que a seguir </w:t>
      </w:r>
      <w:r>
        <w:rPr>
          <w:spacing w:val="4"/>
        </w:rPr>
        <w:t>se </w:t>
      </w:r>
      <w:r>
        <w:rPr>
          <w:spacing w:val="4"/>
        </w:rPr>
      </w:r>
      <w:r>
        <w:rPr/>
        <w:t>expõe.</w:t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1900" w:h="16820"/>
          <w:pgMar w:footer="1420" w:top="340" w:bottom="1600" w:left="260" w:right="240"/>
          <w:pgNumType w:start="1"/>
        </w:sectPr>
      </w:pPr>
    </w:p>
    <w:p>
      <w:pPr>
        <w:spacing w:line="240" w:lineRule="auto"/>
        <w:ind w:left="273" w:right="0" w:firstLine="0"/>
        <w:rPr>
          <w:rFonts w:ascii="Verdana" w:hAnsi="Verdana" w:cs="Verdana" w:eastAsia="Verdana" w:hint="default"/>
          <w:sz w:val="20"/>
          <w:szCs w:val="20"/>
        </w:rPr>
      </w:pPr>
      <w:r>
        <w:rPr>
          <w:rFonts w:ascii="Verdana" w:hAnsi="Verdana" w:cs="Verdana" w:eastAsia="Verdana" w:hint="default"/>
          <w:sz w:val="20"/>
          <w:szCs w:val="20"/>
        </w:rPr>
        <w:pict>
          <v:shape style="width:460.6pt;height:15.6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line="312" w:lineRule="exact" w:before="0"/>
                    <w:ind w:left="28" w:right="33" w:firstLine="0"/>
                    <w:jc w:val="left"/>
                    <w:rPr>
                      <w:rFonts w:ascii="Verdana" w:hAnsi="Verdana" w:cs="Verdana" w:eastAsia="Verdana" w:hint="default"/>
                      <w:sz w:val="26"/>
                      <w:szCs w:val="26"/>
                    </w:rPr>
                  </w:pPr>
                  <w:r>
                    <w:rPr>
                      <w:rFonts w:ascii="Verdana"/>
                      <w:b/>
                      <w:w w:val="99"/>
                      <w:sz w:val="26"/>
                    </w:rPr>
                  </w:r>
                  <w:r>
                    <w:rPr>
                      <w:rFonts w:ascii="Verdana"/>
                      <w:b/>
                      <w:sz w:val="26"/>
                      <w:u w:val="thick" w:color="000000"/>
                    </w:rPr>
                    <w:t>PRELIMINARMENTE:</w:t>
                  </w:r>
                  <w:r>
                    <w:rPr>
                      <w:rFonts w:ascii="Verdana"/>
                      <w:b/>
                      <w:sz w:val="26"/>
                    </w:rPr>
                  </w:r>
                  <w:r>
                    <w:rPr>
                      <w:rFonts w:ascii="Verdana"/>
                      <w:sz w:val="26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Verdana" w:hAnsi="Verdana" w:cs="Verdana" w:eastAsia="Verdana" w:hint="default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 w:hint="default"/>
          <w:sz w:val="10"/>
          <w:szCs w:val="10"/>
        </w:rPr>
      </w:pPr>
      <w:r>
        <w:rPr/>
        <w:pict>
          <v:shape style="position:absolute;margin-left:97.68pt;margin-top:6.47336pt;width:460.6pt;height:31.7pt;mso-position-horizontal-relative:page;mso-position-vertical-relative:paragraph;z-index:1072;mso-wrap-distance-left:0;mso-wrap-distance-right:0" type="#_x0000_t202" filled="true" fillcolor="#d9d9d9" stroked="false">
            <v:textbox inset="0,0,0,0">
              <w:txbxContent>
                <w:p>
                  <w:pPr>
                    <w:tabs>
                      <w:tab w:pos="600" w:val="left" w:leader="none"/>
                      <w:tab w:pos="3456" w:val="left" w:leader="none"/>
                      <w:tab w:pos="4267" w:val="left" w:leader="none"/>
                      <w:tab w:pos="5952" w:val="left" w:leader="none"/>
                      <w:tab w:pos="7747" w:val="left" w:leader="none"/>
                      <w:tab w:pos="8991" w:val="left" w:leader="none"/>
                    </w:tabs>
                    <w:spacing w:line="240" w:lineRule="auto" w:before="0"/>
                    <w:ind w:left="28" w:right="33" w:firstLine="0"/>
                    <w:jc w:val="left"/>
                    <w:rPr>
                      <w:rFonts w:ascii="Verdana" w:hAnsi="Verdana" w:cs="Verdana" w:eastAsia="Verdana" w:hint="default"/>
                      <w:sz w:val="26"/>
                      <w:szCs w:val="26"/>
                    </w:rPr>
                  </w:pPr>
                  <w:r>
                    <w:rPr>
                      <w:rFonts w:ascii="Verdana" w:hAnsi="Verdana" w:cs="Verdana" w:eastAsia="Verdana" w:hint="default"/>
                      <w:b/>
                      <w:bCs/>
                      <w:sz w:val="26"/>
                      <w:szCs w:val="26"/>
                    </w:rPr>
                    <w:t>A</w:t>
                    <w:tab/>
                    <w:t>INCOMPETÊNCIA</w:t>
                    <w:tab/>
                    <w:t>DO</w:t>
                    <w:tab/>
                    <w:t>JUIZADO</w:t>
                    <w:tab/>
                    <w:t>ESPECIAL</w:t>
                    <w:tab/>
                    <w:t>CÍVEL</w:t>
                    <w:tab/>
                    <w:t>– NECESSIDADE DE PROVA</w:t>
                  </w:r>
                  <w:r>
                    <w:rPr>
                      <w:rFonts w:ascii="Verdana" w:hAnsi="Verdana" w:cs="Verdana" w:eastAsia="Verdana" w:hint="default"/>
                      <w:b/>
                      <w:bCs/>
                      <w:spacing w:val="-14"/>
                      <w:sz w:val="26"/>
                      <w:szCs w:val="26"/>
                    </w:rPr>
                    <w:t> </w:t>
                  </w:r>
                  <w:r>
                    <w:rPr>
                      <w:rFonts w:ascii="Verdana" w:hAnsi="Verdana" w:cs="Verdana" w:eastAsia="Verdana" w:hint="default"/>
                      <w:b/>
                      <w:bCs/>
                      <w:sz w:val="26"/>
                      <w:szCs w:val="26"/>
                    </w:rPr>
                    <w:t>PERICIAL</w:t>
                  </w:r>
                  <w:r>
                    <w:rPr>
                      <w:rFonts w:ascii="Verdana" w:hAnsi="Verdana" w:cs="Verdana" w:eastAsia="Verdana" w:hint="default"/>
                      <w:sz w:val="26"/>
                      <w:szCs w:val="26"/>
                    </w:rPr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18"/>
          <w:szCs w:val="18"/>
        </w:rPr>
      </w:pPr>
    </w:p>
    <w:p>
      <w:pPr>
        <w:pStyle w:val="BodyText"/>
        <w:spacing w:line="240" w:lineRule="auto" w:before="53"/>
        <w:ind w:right="116"/>
        <w:jc w:val="both"/>
      </w:pPr>
      <w:r>
        <w:rPr/>
        <w:t>Nos termos do art. 3º </w:t>
      </w:r>
      <w:r>
        <w:rPr>
          <w:spacing w:val="3"/>
        </w:rPr>
        <w:t>da </w:t>
      </w:r>
      <w:r>
        <w:rPr/>
        <w:t>Lei n. 9.099/95, os Juizados Especiais  </w:t>
      </w:r>
      <w:r>
        <w:rPr/>
        <w:t>Cíveis terão competência apenas para julgar as causas envolvendo matéria de menor</w:t>
      </w:r>
      <w:r>
        <w:rPr>
          <w:spacing w:val="-15"/>
        </w:rPr>
        <w:t> </w:t>
      </w:r>
      <w:r>
        <w:rPr/>
        <w:t>complexidade.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114"/>
        <w:jc w:val="both"/>
      </w:pPr>
      <w:r>
        <w:rPr/>
        <w:t>No entanto, no caso em tela, conforme depreende-se dos fatos narrados pela parte autora, a demanda trata de matéria complexa, uma vez que há necessidade de verificar-se a existência de alegado defeito no aparelho adquirido, sendo necessária a realização de prova pericial para fins de determinar a causa dos alegados</w:t>
      </w:r>
      <w:r>
        <w:rPr>
          <w:spacing w:val="-30"/>
        </w:rPr>
        <w:t> </w:t>
      </w:r>
      <w:r>
        <w:rPr/>
        <w:t>danos.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0"/>
        <w:jc w:val="both"/>
      </w:pPr>
      <w:r>
        <w:rPr/>
        <w:t>Nesse sentido decisão proferida pelas Turmas</w:t>
      </w:r>
      <w:r>
        <w:rPr>
          <w:spacing w:val="-27"/>
        </w:rPr>
        <w:t> </w:t>
      </w:r>
      <w:r>
        <w:rPr/>
        <w:t>Recursais: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2"/>
        <w:rPr>
          <w:rFonts w:ascii="Verdana" w:hAnsi="Verdana" w:cs="Verdana" w:eastAsia="Verdana" w:hint="default"/>
          <w:sz w:val="22"/>
          <w:szCs w:val="22"/>
        </w:rPr>
      </w:pPr>
    </w:p>
    <w:p>
      <w:pPr>
        <w:tabs>
          <w:tab w:pos="4939" w:val="left" w:leader="none"/>
          <w:tab w:pos="6767" w:val="left" w:leader="none"/>
          <w:tab w:pos="9311" w:val="left" w:leader="none"/>
        </w:tabs>
        <w:spacing w:line="240" w:lineRule="auto" w:before="0"/>
        <w:ind w:left="3278" w:right="112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AÇÃO REPARAÇÃO DE DANOS. DANOS EM IMÓVEL SUPOSTAMENTE ORIUNDOS DE INFILTRAÇÃO DE ÁGUA. PECULIARIDADES DO CASO CONCRETO QUE ENSEJAM A NECESSIDADE DE REALIZAÇÃO DE PERÍCIA</w:t>
        <w:tab/>
        <w:t>TÉCNICA,</w:t>
        <w:tab/>
        <w:t>ACARRETANDO</w:t>
        <w:tab/>
        <w:t>A </w:t>
      </w:r>
      <w:r>
        <w:rPr>
          <w:rFonts w:ascii="Times New Roman" w:hAnsi="Times New Roman"/>
          <w:b/>
          <w:sz w:val="24"/>
        </w:rPr>
        <w:t>COMPLEXIDADE </w:t>
      </w:r>
      <w:r>
        <w:rPr>
          <w:rFonts w:ascii="Times New Roman" w:hAnsi="Times New Roman"/>
          <w:sz w:val="24"/>
        </w:rPr>
        <w:t>DA CAUSA E A CONSEQÜENTE INCOMPETÊNCIA DO JEC PARA APRECIÁ-LA. Diante 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do</w:t>
      </w:r>
    </w:p>
    <w:p>
      <w:pPr>
        <w:spacing w:line="240" w:lineRule="auto" w:before="0"/>
        <w:ind w:left="3278" w:right="112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contexto probatório, verifica-se a necessidade de perícia técnica para se verificar a origem da infiltração de água que vem acarretando danos </w:t>
      </w:r>
      <w:r>
        <w:rPr>
          <w:rFonts w:ascii="Times New Roman" w:hAnsi="Times New Roman"/>
          <w:spacing w:val="-3"/>
          <w:sz w:val="24"/>
        </w:rPr>
        <w:t>no </w:t>
      </w:r>
      <w:r>
        <w:rPr>
          <w:rFonts w:ascii="Times New Roman" w:hAnsi="Times New Roman"/>
          <w:sz w:val="24"/>
        </w:rPr>
        <w:t>apartamento </w:t>
      </w:r>
      <w:r>
        <w:rPr>
          <w:rFonts w:ascii="Times New Roman" w:hAnsi="Times New Roman"/>
          <w:spacing w:val="-3"/>
          <w:sz w:val="24"/>
        </w:rPr>
        <w:t>do </w:t>
      </w:r>
      <w:r>
        <w:rPr>
          <w:rFonts w:ascii="Times New Roman" w:hAnsi="Times New Roman"/>
          <w:sz w:val="24"/>
        </w:rPr>
        <w:t>autor, bem como a </w:t>
      </w:r>
      <w:r>
        <w:rPr>
          <w:rFonts w:ascii="Times New Roman" w:hAnsi="Times New Roman"/>
          <w:sz w:val="24"/>
        </w:rPr>
        <w:t>extensão destes. A prova existente nos autos não se mostra suficiente para a elucidação da questão. Incabível a determinação de prova pericial </w:t>
      </w:r>
      <w:r>
        <w:rPr>
          <w:rFonts w:ascii="Times New Roman" w:hAnsi="Times New Roman"/>
          <w:spacing w:val="-3"/>
          <w:sz w:val="24"/>
        </w:rPr>
        <w:t>no </w:t>
      </w:r>
      <w:r>
        <w:rPr>
          <w:rFonts w:ascii="Times New Roman" w:hAnsi="Times New Roman"/>
          <w:sz w:val="24"/>
        </w:rPr>
        <w:t>JEC, deve ser extinto </w:t>
      </w:r>
      <w:r>
        <w:rPr>
          <w:rFonts w:ascii="Times New Roman" w:hAnsi="Times New Roman"/>
          <w:spacing w:val="-3"/>
          <w:sz w:val="24"/>
        </w:rPr>
        <w:t>do </w:t>
      </w:r>
      <w:r>
        <w:rPr>
          <w:rFonts w:ascii="Times New Roman" w:hAnsi="Times New Roman"/>
          <w:sz w:val="24"/>
        </w:rPr>
        <w:t>feito </w:t>
      </w:r>
      <w:r>
        <w:rPr>
          <w:rFonts w:ascii="Times New Roman" w:hAnsi="Times New Roman"/>
          <w:sz w:val="24"/>
        </w:rPr>
        <w:t>com base </w:t>
      </w:r>
      <w:r>
        <w:rPr>
          <w:rFonts w:ascii="Times New Roman" w:hAnsi="Times New Roman"/>
          <w:spacing w:val="-3"/>
          <w:sz w:val="24"/>
        </w:rPr>
        <w:t>no </w:t>
      </w:r>
      <w:r>
        <w:rPr>
          <w:rFonts w:ascii="Times New Roman" w:hAnsi="Times New Roman"/>
          <w:sz w:val="24"/>
        </w:rPr>
        <w:t>art. 51, </w:t>
      </w:r>
      <w:r>
        <w:rPr>
          <w:rFonts w:ascii="Times New Roman" w:hAnsi="Times New Roman"/>
          <w:spacing w:val="-3"/>
          <w:sz w:val="24"/>
        </w:rPr>
        <w:t>inciso </w:t>
      </w:r>
      <w:r>
        <w:rPr>
          <w:rFonts w:ascii="Times New Roman" w:hAnsi="Times New Roman"/>
          <w:sz w:val="24"/>
        </w:rPr>
        <w:t>II, da Lei </w:t>
      </w:r>
      <w:r>
        <w:rPr>
          <w:rFonts w:ascii="Times New Roman" w:hAnsi="Times New Roman"/>
          <w:spacing w:val="-3"/>
          <w:sz w:val="24"/>
        </w:rPr>
        <w:t>nº </w:t>
      </w:r>
      <w:r>
        <w:rPr>
          <w:rFonts w:ascii="Times New Roman" w:hAnsi="Times New Roman"/>
          <w:sz w:val="24"/>
        </w:rPr>
        <w:t>9.099/95. Sentença </w:t>
      </w:r>
      <w:r>
        <w:rPr>
          <w:rFonts w:ascii="Times New Roman" w:hAnsi="Times New Roman"/>
          <w:sz w:val="24"/>
        </w:rPr>
        <w:t>mantida e confirmada por seus próprios fundamentos. Recurso desprovido. (Recurso Cível Nº 71001376169, Primeira Turma Recursal Cível, Turmas Recursais, Relator: Eduardo Kraemer, Julgado em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16/08/2007)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312" w:lineRule="exact" w:before="205"/>
        <w:ind w:right="116"/>
        <w:jc w:val="both"/>
      </w:pPr>
      <w:r>
        <w:rPr/>
        <w:t>Ante o exposto, requer, seja extinta a ação, sem resolução </w:t>
      </w:r>
      <w:r>
        <w:rPr>
          <w:spacing w:val="3"/>
        </w:rPr>
        <w:t>de  </w:t>
      </w:r>
      <w:r>
        <w:rPr>
          <w:spacing w:val="3"/>
        </w:rPr>
      </w:r>
      <w:r>
        <w:rPr/>
        <w:t>mérito, com base no disposto no art. 51, II, da lei n.</w:t>
      </w:r>
      <w:r>
        <w:rPr>
          <w:spacing w:val="-36"/>
        </w:rPr>
        <w:t> </w:t>
      </w:r>
      <w:r>
        <w:rPr/>
        <w:t>9.099/95.</w:t>
      </w:r>
    </w:p>
    <w:p>
      <w:pPr>
        <w:spacing w:after="0" w:line="312" w:lineRule="exact"/>
        <w:jc w:val="both"/>
        <w:sectPr>
          <w:pgSz w:w="11900" w:h="16820"/>
          <w:pgMar w:header="0" w:footer="1420" w:top="1420" w:bottom="1620" w:left="1680" w:right="620"/>
        </w:sectPr>
      </w:pPr>
    </w:p>
    <w:p>
      <w:pPr>
        <w:pStyle w:val="Heading1"/>
        <w:tabs>
          <w:tab w:pos="9484" w:val="left" w:leader="none"/>
        </w:tabs>
        <w:spacing w:line="240" w:lineRule="auto" w:before="39"/>
        <w:ind w:right="0"/>
        <w:jc w:val="both"/>
        <w:rPr>
          <w:b w:val="0"/>
          <w:bCs w:val="0"/>
        </w:rPr>
      </w:pPr>
      <w:r>
        <w:rPr>
          <w:w w:val="99"/>
        </w:rPr>
      </w:r>
      <w:r>
        <w:rPr>
          <w:shd w:fill="D9D9D9" w:color="auto" w:val="clear"/>
        </w:rPr>
        <w:t>A ILEGITIMIDADE PASSIVA DA</w:t>
      </w:r>
      <w:r>
        <w:rPr>
          <w:spacing w:val="-23"/>
          <w:shd w:fill="D9D9D9" w:color="auto" w:val="clear"/>
        </w:rPr>
        <w:t> </w:t>
      </w:r>
      <w:r>
        <w:rPr>
          <w:shd w:fill="D9D9D9" w:color="auto" w:val="clear"/>
        </w:rPr>
        <w:t>REQUERIDA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115"/>
        <w:jc w:val="both"/>
      </w:pPr>
      <w:r>
        <w:rPr/>
        <w:t>Conforme acima demonstrado, o reclamante noticia ter adquirido aparelho telefônico, tendo ele apresentado defeito. Contudo, a demandada requer, preliminarmente, a extinção do feito sem julgamento do mérito, uma vez que é parte ilegítima para figurar no pólo passivo da presente ação, com fundamento no art. 267, VI do CPC.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116"/>
        <w:jc w:val="both"/>
      </w:pPr>
      <w:r>
        <w:rPr/>
        <w:t>Assim sendo, esclarece-se ser a reclamada responsável apenas pela prestação de serviços de telefonia. Portanto, a operadora não pode ser caracterizada como fornecedora do aparelho, que é claramente identificável, diga-se de passagem, tampouco responsabilizada por eventuais vícios apresentados pelo</w:t>
      </w:r>
      <w:r>
        <w:rPr>
          <w:spacing w:val="-17"/>
        </w:rPr>
        <w:t> </w:t>
      </w:r>
      <w:r>
        <w:rPr/>
        <w:t>mesmo.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116"/>
        <w:jc w:val="both"/>
      </w:pPr>
      <w:r>
        <w:rPr/>
        <w:t>Para tanto, foge às raias do bom senso responsabilizar a empresa prestadora dos serviços de telefonia celular, haja vista não possuir nenhuma obrigação decorrente de eventuais defeitos apresentados nos equipamentos fabricados por</w:t>
      </w:r>
      <w:r>
        <w:rPr>
          <w:spacing w:val="-18"/>
        </w:rPr>
        <w:t> </w:t>
      </w:r>
      <w:r>
        <w:rPr/>
        <w:t>terceiro.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0"/>
        <w:jc w:val="both"/>
      </w:pPr>
      <w:r>
        <w:rPr/>
        <w:t>Reza o art. 3º do</w:t>
      </w:r>
      <w:r>
        <w:rPr>
          <w:spacing w:val="-8"/>
        </w:rPr>
        <w:t> </w:t>
      </w:r>
      <w:r>
        <w:rPr/>
        <w:t>CPC:</w:t>
      </w:r>
    </w:p>
    <w:p>
      <w:pPr>
        <w:spacing w:line="240" w:lineRule="auto" w:before="1"/>
        <w:rPr>
          <w:rFonts w:ascii="Verdana" w:hAnsi="Verdana" w:cs="Verdana" w:eastAsia="Verdana" w:hint="default"/>
          <w:sz w:val="37"/>
          <w:szCs w:val="37"/>
        </w:rPr>
      </w:pPr>
    </w:p>
    <w:p>
      <w:pPr>
        <w:spacing w:line="242" w:lineRule="auto" w:before="0"/>
        <w:ind w:left="3139" w:right="16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Para propor ou contestar ação é necessário ter interesse e legitimidade.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181"/>
        <w:ind w:left="302" w:right="116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No caso concreto, repisa-se, a ora demandada não tem legitimidade para contestar o mérito da ação, uma vez que </w:t>
      </w:r>
      <w:r>
        <w:rPr>
          <w:rFonts w:ascii="Verdana" w:hAnsi="Verdana"/>
          <w:b/>
          <w:sz w:val="26"/>
        </w:rPr>
        <w:t>todo e qualquer dissabor que o reclamante tenha sofrido, ocorreu unicamente em decorrência de empresa diversa</w:t>
      </w:r>
      <w:r>
        <w:rPr>
          <w:rFonts w:ascii="Verdana" w:hAnsi="Verdana"/>
          <w:sz w:val="26"/>
        </w:rPr>
        <w:t>, o que elide completamente  a responsabilidade da demandada na</w:t>
      </w:r>
      <w:r>
        <w:rPr>
          <w:rFonts w:ascii="Verdana" w:hAnsi="Verdana"/>
          <w:spacing w:val="-29"/>
          <w:sz w:val="26"/>
        </w:rPr>
        <w:t> </w:t>
      </w:r>
      <w:r>
        <w:rPr>
          <w:rFonts w:ascii="Verdana" w:hAnsi="Verdana"/>
          <w:sz w:val="26"/>
        </w:rPr>
        <w:t>casuística.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18"/>
        <w:jc w:val="both"/>
      </w:pPr>
      <w:r>
        <w:rPr/>
        <w:t>O único envolvimento da demandada com o presente caso, segundo  </w:t>
      </w:r>
      <w:r>
        <w:rPr>
          <w:rFonts w:ascii="Verdana" w:hAnsi="Verdana" w:cs="Verdana" w:eastAsia="Verdana" w:hint="default"/>
          <w:b/>
          <w:bCs/>
        </w:rPr>
        <w:t>a própria narrativa do autor</w:t>
      </w:r>
      <w:r>
        <w:rPr/>
        <w:t>, é a relação comercial estabelecida, na qual a ré fornece o serviço de telefonia móvel para o autor, que, afirma ter celular marca “Motorola” que apresentou</w:t>
      </w:r>
      <w:r>
        <w:rPr>
          <w:spacing w:val="-29"/>
        </w:rPr>
        <w:t> </w:t>
      </w:r>
      <w:r>
        <w:rPr/>
        <w:t>defeitos.</w:t>
      </w:r>
    </w:p>
    <w:p>
      <w:pPr>
        <w:spacing w:after="0" w:line="240" w:lineRule="auto"/>
        <w:jc w:val="both"/>
        <w:sectPr>
          <w:pgSz w:w="11900" w:h="16820"/>
          <w:pgMar w:header="0" w:footer="1420" w:top="1380" w:bottom="1620" w:left="1680" w:right="620"/>
        </w:sectPr>
      </w:pPr>
    </w:p>
    <w:p>
      <w:pPr>
        <w:pStyle w:val="Heading1"/>
        <w:spacing w:line="237" w:lineRule="auto" w:before="42"/>
        <w:ind w:right="114"/>
        <w:jc w:val="both"/>
        <w:rPr>
          <w:b w:val="0"/>
          <w:bCs w:val="0"/>
        </w:rPr>
      </w:pPr>
      <w:r>
        <w:rPr/>
        <w:t>Nesse passo, a relação obrigacional objeto da lide existe apenas entre o autor e a empresa “Motorola”, nada tocando à Claro</w:t>
      </w:r>
      <w:r>
        <w:rPr>
          <w:spacing w:val="-10"/>
        </w:rPr>
        <w:t> </w:t>
      </w:r>
      <w:r>
        <w:rPr/>
        <w:t>S/A.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3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pStyle w:val="BodyText"/>
        <w:spacing w:line="240" w:lineRule="auto"/>
        <w:ind w:right="118"/>
        <w:jc w:val="both"/>
      </w:pPr>
      <w:r>
        <w:rPr/>
        <w:t>Neste sentido, a reclamada colaciona recente decisão proferida pelo Tribunal de Justiça do Estado do Rio Grande do</w:t>
      </w:r>
      <w:r>
        <w:rPr>
          <w:spacing w:val="-28"/>
        </w:rPr>
        <w:t> </w:t>
      </w:r>
      <w:r>
        <w:rPr/>
        <w:t>Sul: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7"/>
        <w:rPr>
          <w:rFonts w:ascii="Verdana" w:hAnsi="Verdana" w:cs="Verdana" w:eastAsia="Verdana" w:hint="default"/>
          <w:sz w:val="22"/>
          <w:szCs w:val="22"/>
        </w:rPr>
      </w:pPr>
    </w:p>
    <w:p>
      <w:pPr>
        <w:spacing w:line="240" w:lineRule="auto" w:before="0"/>
        <w:ind w:left="3139" w:right="111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AÇÕES DE INDENIZAÇÃO POR DANO MORAL, DESFAZIMENTO DE NEGÓCIO, RESTITUIÇÃO DO PREÇO PAGO E REEMBOLSO DE DESPESAS. AQUISIÇÃO DE APARELHO CELULAR PARA USO EXCLUSIVO EM PROPRIEDADES    RURAIS.    DEFEITO.   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ILEGITIMIDADE</w:t>
      </w:r>
    </w:p>
    <w:p>
      <w:pPr>
        <w:spacing w:line="240" w:lineRule="auto" w:before="0"/>
        <w:ind w:left="3139" w:right="108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sz w:val="24"/>
          <w:szCs w:val="24"/>
        </w:rPr>
        <w:t>PASSIVA. Sendo, as requeridas, partes ilegítimas para figurarem </w:t>
      </w:r>
      <w:r>
        <w:rPr>
          <w:rFonts w:ascii="Times New Roman" w:hAnsi="Times New Roman" w:cs="Times New Roman" w:eastAsia="Times New Roman" w:hint="default"/>
          <w:spacing w:val="-3"/>
          <w:sz w:val="24"/>
          <w:szCs w:val="24"/>
        </w:rPr>
        <w:t>no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pólo passivo das demandas, em que o autor pretende desfazer 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a compra e venda do aparelho de telefone celular, por alegado defeito </w:t>
      </w:r>
      <w:r>
        <w:rPr>
          <w:rFonts w:ascii="Times New Roman" w:hAnsi="Times New Roman" w:cs="Times New Roman" w:eastAsia="Times New Roman" w:hint="default"/>
          <w:spacing w:val="-3"/>
          <w:sz w:val="24"/>
          <w:szCs w:val="24"/>
        </w:rPr>
        <w:t>no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produto, bem como ter restituído o valor pago,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reembolsado de despesas e indenizado por dano moral, é de ser mantida a sentença que extinguiu o feito sem resolução  do  mérito, com fulcro </w:t>
      </w:r>
      <w:r>
        <w:rPr>
          <w:rFonts w:ascii="Times New Roman" w:hAnsi="Times New Roman" w:cs="Times New Roman" w:eastAsia="Times New Roman" w:hint="default"/>
          <w:spacing w:val="-3"/>
          <w:sz w:val="24"/>
          <w:szCs w:val="24"/>
        </w:rPr>
        <w:t>no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art. 267, VI, </w:t>
      </w:r>
      <w:r>
        <w:rPr>
          <w:rFonts w:ascii="Times New Roman" w:hAnsi="Times New Roman" w:cs="Times New Roman" w:eastAsia="Times New Roman" w:hint="default"/>
          <w:spacing w:val="-3"/>
          <w:sz w:val="24"/>
          <w:szCs w:val="24"/>
        </w:rPr>
        <w:t>do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CPC. 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Situação em que o aparelho celular foi adquirido da representante comercial de uma das requeridas, a qual também presta assistência  técnica. Outrossim, a demandada Brasil Telecom presta apenas o serviço de telefonia, o qual foi solicitado pelo autor, não tendo sido constatado o apontado defeito. Apelação desprovida.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(Apelação Cível Nº 70020049797, Quinta Câmara Cível, Tribunal de Justiça do RS, Relator: Leo Lima, Julgado em 08/08/2007) –</w:t>
      </w:r>
      <w:r>
        <w:rPr>
          <w:rFonts w:ascii="Times New Roman" w:hAnsi="Times New Roman" w:cs="Times New Roman" w:eastAsia="Times New Roman" w:hint="default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sz w:val="24"/>
          <w:szCs w:val="24"/>
        </w:rPr>
        <w:t>Grifou-se.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31"/>
          <w:szCs w:val="31"/>
        </w:rPr>
      </w:pPr>
    </w:p>
    <w:p>
      <w:pPr>
        <w:pStyle w:val="BodyText"/>
        <w:spacing w:line="240" w:lineRule="auto"/>
        <w:ind w:right="115"/>
        <w:jc w:val="both"/>
      </w:pPr>
      <w:r>
        <w:rPr/>
        <w:t>Salienta-se, ainda, que o fato da reclamada prestar os serviços </w:t>
      </w:r>
      <w:r>
        <w:rPr>
          <w:spacing w:val="3"/>
        </w:rPr>
        <w:t>de </w:t>
      </w:r>
      <w:r>
        <w:rPr>
          <w:spacing w:val="3"/>
        </w:rPr>
      </w:r>
      <w:r>
        <w:rPr/>
        <w:t>telefonia, por si só, não legitima sua inclusão no pólo passivo </w:t>
      </w:r>
      <w:r>
        <w:rPr>
          <w:spacing w:val="3"/>
        </w:rPr>
        <w:t>da </w:t>
      </w:r>
      <w:r>
        <w:rPr>
          <w:spacing w:val="3"/>
        </w:rPr>
      </w:r>
      <w:r>
        <w:rPr/>
        <w:t>ação, uma vez que a Claro desconhece os motivos pelos quais os </w:t>
      </w:r>
      <w:r>
        <w:rPr/>
        <w:t>celulares possam ter apresentado qualquer</w:t>
      </w:r>
      <w:r>
        <w:rPr>
          <w:spacing w:val="-26"/>
        </w:rPr>
        <w:t> </w:t>
      </w:r>
      <w:r>
        <w:rPr/>
        <w:t>defeito.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7"/>
        <w:rPr>
          <w:rFonts w:ascii="Verdana" w:hAnsi="Verdana" w:cs="Verdana" w:eastAsia="Verdana" w:hint="default"/>
          <w:sz w:val="24"/>
          <w:szCs w:val="24"/>
        </w:rPr>
      </w:pPr>
    </w:p>
    <w:p>
      <w:pPr>
        <w:pStyle w:val="Heading1"/>
        <w:spacing w:line="240" w:lineRule="auto"/>
        <w:ind w:right="112"/>
        <w:jc w:val="both"/>
        <w:rPr>
          <w:b w:val="0"/>
          <w:bCs w:val="0"/>
        </w:rPr>
      </w:pPr>
      <w:r>
        <w:rPr/>
        <w:t>Por fim, observa-se ser sabido que, nos termos do art. 13</w:t>
      </w:r>
      <w:r>
        <w:rPr>
          <w:position w:val="12"/>
          <w:sz w:val="16"/>
        </w:rPr>
        <w:t>1 </w:t>
      </w:r>
      <w:r>
        <w:rPr>
          <w:spacing w:val="3"/>
        </w:rPr>
        <w:t>do </w:t>
      </w:r>
      <w:r>
        <w:rPr>
          <w:spacing w:val="3"/>
        </w:rPr>
      </w:r>
      <w:r>
        <w:rPr/>
        <w:t>CDC, somente em situações específicas, e desde que </w:t>
      </w:r>
      <w:r>
        <w:rPr/>
        <w:t>preenchidos os requisitos previstos em lei, é que poderá haver responsabilização solidária do</w:t>
      </w:r>
      <w:r>
        <w:rPr>
          <w:spacing w:val="-19"/>
        </w:rPr>
        <w:t> </w:t>
      </w:r>
      <w:r>
        <w:rPr/>
        <w:t>comerciante.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 w:hint="default"/>
          <w:b/>
          <w:bCs/>
          <w:sz w:val="28"/>
          <w:szCs w:val="28"/>
        </w:rPr>
      </w:pPr>
      <w:r>
        <w:rPr/>
        <w:pict>
          <v:group style="position:absolute;margin-left:99.120003pt;margin-top:18.47719pt;width:144pt;height:.1pt;mso-position-horizontal-relative:page;mso-position-vertical-relative:paragraph;z-index:1096;mso-wrap-distance-left:0;mso-wrap-distance-right:0" coordorigin="1982,370" coordsize="2880,2">
            <v:shape style="position:absolute;left:1982;top:370;width:2880;height:2" coordorigin="1982,370" coordsize="2880,0" path="m1982,370l4862,370e" filled="false" stroked="true" strokeweight=".48pt" strokecolor="#000000">
              <v:path arrowok="t"/>
            </v:shape>
            <w10:wrap type="topAndBottom"/>
          </v:group>
        </w:pict>
      </w:r>
    </w:p>
    <w:p>
      <w:pPr>
        <w:spacing w:before="33"/>
        <w:ind w:left="302" w:right="200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9"/>
          <w:sz w:val="13"/>
          <w:szCs w:val="13"/>
        </w:rPr>
        <w:t>1 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Art. 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13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– O comerciante é igualmente responsável, nos </w:t>
      </w:r>
      <w:r>
        <w:rPr>
          <w:rFonts w:ascii="Times New Roman" w:hAnsi="Times New Roman" w:cs="Times New Roman" w:eastAsia="Times New Roman" w:hint="default"/>
          <w:spacing w:val="-2"/>
          <w:sz w:val="20"/>
          <w:szCs w:val="20"/>
        </w:rPr>
        <w:t>termos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do artigo anterior, quando: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I – o fabricante, o construtor, o produtor 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ou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importador não puderem </w:t>
      </w:r>
      <w:r>
        <w:rPr>
          <w:rFonts w:ascii="Times New Roman" w:hAnsi="Times New Roman" w:cs="Times New Roman" w:eastAsia="Times New Roman" w:hint="default"/>
          <w:spacing w:val="-2"/>
          <w:sz w:val="20"/>
          <w:szCs w:val="20"/>
        </w:rPr>
        <w:t>ser</w:t>
      </w:r>
      <w:r>
        <w:rPr>
          <w:rFonts w:ascii="Times New Roman" w:hAnsi="Times New Roman" w:cs="Times New Roman" w:eastAsia="Times New Roman" w:hint="default"/>
          <w:spacing w:val="-24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identificados;</w:t>
      </w:r>
    </w:p>
    <w:p>
      <w:pPr>
        <w:spacing w:before="0"/>
        <w:ind w:left="302" w:right="1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t>II – o produto </w:t>
      </w:r>
      <w:r>
        <w:rPr>
          <w:rFonts w:ascii="Times New Roman" w:hAnsi="Times New Roman" w:cs="Times New Roman" w:eastAsia="Times New Roman" w:hint="default"/>
          <w:spacing w:val="-4"/>
          <w:sz w:val="20"/>
          <w:szCs w:val="20"/>
        </w:rPr>
        <w:t>for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fornecido </w:t>
      </w:r>
      <w:r>
        <w:rPr>
          <w:rFonts w:ascii="Times New Roman" w:hAnsi="Times New Roman" w:cs="Times New Roman" w:eastAsia="Times New Roman" w:hint="default"/>
          <w:spacing w:val="-2"/>
          <w:sz w:val="20"/>
          <w:szCs w:val="20"/>
        </w:rPr>
        <w:t>sem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identificação clara do </w:t>
      </w:r>
      <w:r>
        <w:rPr>
          <w:rFonts w:ascii="Times New Roman" w:hAnsi="Times New Roman" w:cs="Times New Roman" w:eastAsia="Times New Roman" w:hint="default"/>
          <w:spacing w:val="-2"/>
          <w:sz w:val="20"/>
          <w:szCs w:val="20"/>
        </w:rPr>
        <w:t>sei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fabricante, produtor, construtor 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ou</w:t>
      </w:r>
      <w:r>
        <w:rPr>
          <w:rFonts w:ascii="Times New Roman" w:hAnsi="Times New Roman" w:cs="Times New Roman" w:eastAsia="Times New Roman" w:hint="default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importador;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20"/>
          <w:pgMar w:header="0" w:footer="1420" w:top="1380" w:bottom="1620" w:left="1680" w:right="620"/>
        </w:sectPr>
      </w:pPr>
    </w:p>
    <w:p>
      <w:pPr>
        <w:pStyle w:val="BodyText"/>
        <w:spacing w:line="240" w:lineRule="auto" w:before="131"/>
        <w:ind w:right="115"/>
        <w:jc w:val="both"/>
      </w:pPr>
      <w:r>
        <w:rPr/>
        <w:t>No caso em tela, não foram sequer preenchidos tais requisitos, haja vista ser perfeitamente possível ao consumidor identificar  o fabricante dos produtos, qual seja, Motorola, que alega terem apresentado</w:t>
      </w:r>
      <w:r>
        <w:rPr>
          <w:spacing w:val="-14"/>
        </w:rPr>
        <w:t> </w:t>
      </w:r>
      <w:r>
        <w:rPr/>
        <w:t>defeitos.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Heading1"/>
        <w:spacing w:line="240" w:lineRule="auto"/>
        <w:ind w:right="115"/>
        <w:jc w:val="both"/>
        <w:rPr>
          <w:b w:val="0"/>
          <w:bCs w:val="0"/>
        </w:rPr>
      </w:pPr>
      <w:r>
        <w:rPr/>
        <w:t>Assim, a Claro é parte ilegítima na presente ação, devendo o feito ser, desde já, baixado e arquivado em relação a</w:t>
      </w:r>
      <w:r>
        <w:rPr>
          <w:spacing w:val="-22"/>
        </w:rPr>
        <w:t> </w:t>
      </w:r>
      <w:r>
        <w:rPr/>
        <w:t>esta.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0"/>
          <w:szCs w:val="20"/>
        </w:rPr>
      </w:pPr>
    </w:p>
    <w:p>
      <w:pPr>
        <w:spacing w:line="240" w:lineRule="auto" w:before="1"/>
        <w:rPr>
          <w:rFonts w:ascii="Verdana" w:hAnsi="Verdana" w:cs="Verdana" w:eastAsia="Verdana" w:hint="default"/>
          <w:b/>
          <w:bCs/>
          <w:sz w:val="12"/>
          <w:szCs w:val="12"/>
        </w:rPr>
      </w:pPr>
      <w:r>
        <w:rPr/>
        <w:pict>
          <v:shape style="position:absolute;margin-left:97.68pt;margin-top:7.523838pt;width:460.6pt;height:15.85pt;mso-position-horizontal-relative:page;mso-position-vertical-relative:paragraph;z-index:112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14" w:lineRule="exact" w:before="0"/>
                    <w:ind w:left="28" w:right="33" w:firstLine="0"/>
                    <w:jc w:val="left"/>
                    <w:rPr>
                      <w:rFonts w:ascii="Verdana" w:hAnsi="Verdana" w:cs="Verdana" w:eastAsia="Verdana" w:hint="default"/>
                      <w:sz w:val="26"/>
                      <w:szCs w:val="26"/>
                    </w:rPr>
                  </w:pPr>
                  <w:r>
                    <w:rPr>
                      <w:rFonts w:ascii="Verdana" w:hAnsi="Verdana"/>
                      <w:b/>
                      <w:w w:val="99"/>
                      <w:sz w:val="26"/>
                    </w:rPr>
                  </w:r>
                  <w:r>
                    <w:rPr>
                      <w:rFonts w:ascii="Verdana" w:hAnsi="Verdana"/>
                      <w:b/>
                      <w:sz w:val="26"/>
                      <w:u w:val="thick" w:color="000000"/>
                    </w:rPr>
                    <w:t>MÉRITO:</w:t>
                  </w:r>
                  <w:r>
                    <w:rPr>
                      <w:rFonts w:ascii="Verdana" w:hAnsi="Verdana"/>
                      <w:b/>
                      <w:sz w:val="26"/>
                    </w:rPr>
                  </w:r>
                  <w:r>
                    <w:rPr>
                      <w:rFonts w:ascii="Verdana" w:hAnsi="Verdana"/>
                      <w:sz w:val="26"/>
                    </w:rPr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 w:hint="default"/>
          <w:b/>
          <w:bCs/>
          <w:sz w:val="25"/>
          <w:szCs w:val="25"/>
        </w:rPr>
      </w:pPr>
    </w:p>
    <w:p>
      <w:pPr>
        <w:tabs>
          <w:tab w:pos="9484" w:val="left" w:leader="none"/>
        </w:tabs>
        <w:spacing w:before="53"/>
        <w:ind w:left="302" w:right="0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b/>
          <w:w w:val="99"/>
          <w:sz w:val="26"/>
        </w:rPr>
      </w:r>
      <w:r>
        <w:rPr>
          <w:rFonts w:ascii="Verdana" w:hAnsi="Verdana"/>
          <w:b/>
          <w:sz w:val="26"/>
          <w:shd w:fill="D9D9D9" w:color="auto" w:val="clear"/>
        </w:rPr>
        <w:t>AS RAZÕES DA IMPROCEDÊNCIA DA</w:t>
      </w:r>
      <w:r>
        <w:rPr>
          <w:rFonts w:ascii="Verdana" w:hAnsi="Verdana"/>
          <w:b/>
          <w:spacing w:val="-20"/>
          <w:sz w:val="26"/>
          <w:shd w:fill="D9D9D9" w:color="auto" w:val="clear"/>
        </w:rPr>
        <w:t> </w:t>
      </w:r>
      <w:r>
        <w:rPr>
          <w:rFonts w:ascii="Verdana" w:hAnsi="Verdana"/>
          <w:b/>
          <w:sz w:val="26"/>
          <w:shd w:fill="D9D9D9" w:color="auto" w:val="clear"/>
        </w:rPr>
        <w:t>AÇÃO</w:t>
        <w:tab/>
      </w:r>
      <w:r>
        <w:rPr>
          <w:rFonts w:ascii="Verdana" w:hAnsi="Verdana"/>
          <w:b/>
          <w:sz w:val="26"/>
        </w:rPr>
      </w:r>
      <w:r>
        <w:rPr>
          <w:rFonts w:ascii="Verdana" w:hAnsi="Verdana"/>
          <w:sz w:val="26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5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pStyle w:val="BodyText"/>
        <w:spacing w:line="237" w:lineRule="auto"/>
        <w:ind w:right="117"/>
        <w:jc w:val="both"/>
      </w:pPr>
      <w:r>
        <w:rPr/>
        <w:t>Na hipótese de ser afastada a preliminar anteriormente aduzida, o que se admite apenas a título argumentativo, requer sejam consideradas as razões de mérito abaixo</w:t>
      </w:r>
      <w:r>
        <w:rPr>
          <w:spacing w:val="-31"/>
        </w:rPr>
        <w:t> </w:t>
      </w:r>
      <w:r>
        <w:rPr/>
        <w:t>explicitadas.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3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144"/>
        <w:jc w:val="both"/>
      </w:pPr>
      <w:r>
        <w:rPr/>
        <w:t>Primeiramente, imperioso destacar que em momento algum a parte reclamante negou a contratação dos serviços prestados pela reclamada. Pelo contrário, a prestação dos serviços é incontroversa, reconhecida pela própria consumidora no relato de sua</w:t>
      </w:r>
      <w:r>
        <w:rPr>
          <w:spacing w:val="-32"/>
        </w:rPr>
        <w:t> </w:t>
      </w:r>
      <w:r>
        <w:rPr/>
        <w:t>ocorrência.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0"/>
        <w:ind w:left="302" w:right="144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Não há, em momento algum da narrativa do reclamante, referência de defeito </w:t>
      </w:r>
      <w:r>
        <w:rPr>
          <w:rFonts w:ascii="Verdana" w:hAnsi="Verdana"/>
          <w:b/>
          <w:sz w:val="26"/>
        </w:rPr>
        <w:t>na prestação dos serviços de telefonia  prestados pela Claro</w:t>
      </w:r>
      <w:r>
        <w:rPr>
          <w:rFonts w:ascii="Verdana" w:hAnsi="Verdana"/>
          <w:sz w:val="26"/>
        </w:rPr>
        <w:t>, ou qualquer alegação desta natureza. O serviço de telefonia foi prestado com excelência, fato incontroverso nos autos da</w:t>
      </w:r>
      <w:r>
        <w:rPr>
          <w:rFonts w:ascii="Verdana" w:hAnsi="Verdana"/>
          <w:spacing w:val="-7"/>
          <w:sz w:val="26"/>
        </w:rPr>
        <w:t> </w:t>
      </w:r>
      <w:r>
        <w:rPr>
          <w:rFonts w:ascii="Verdana" w:hAnsi="Verdana"/>
          <w:sz w:val="26"/>
        </w:rPr>
        <w:t>ação.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37" w:lineRule="auto"/>
        <w:ind w:right="142"/>
        <w:jc w:val="both"/>
      </w:pPr>
      <w:r>
        <w:rPr/>
        <w:t>Inclusive, há que se ressaltar que a demandada Claro sempre atendeu o autor da melhor maneira possível, tendo sempre auxiliado o autor de maneira mais rápida e eficaz</w:t>
      </w:r>
      <w:r>
        <w:rPr>
          <w:spacing w:val="-26"/>
        </w:rPr>
        <w:t> </w:t>
      </w:r>
      <w:r>
        <w:rPr/>
        <w:t>possível.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34"/>
          <w:szCs w:val="34"/>
        </w:rPr>
      </w:pPr>
    </w:p>
    <w:p>
      <w:pPr>
        <w:pStyle w:val="BodyText"/>
        <w:spacing w:line="240" w:lineRule="auto"/>
        <w:ind w:right="141"/>
        <w:jc w:val="both"/>
      </w:pPr>
      <w:r>
        <w:rPr/>
        <w:t>Assim, resta claro que reclamada Claro S/A disponibilizou corretamente os serviços, na forma em que foram contratados, bem como obedecendo às normas</w:t>
      </w:r>
      <w:r>
        <w:rPr>
          <w:spacing w:val="-24"/>
        </w:rPr>
        <w:t> </w:t>
      </w:r>
      <w:r>
        <w:rPr/>
        <w:t>consumeiristas.</w:t>
      </w:r>
    </w:p>
    <w:p>
      <w:pPr>
        <w:spacing w:after="0" w:line="240" w:lineRule="auto"/>
        <w:jc w:val="both"/>
        <w:sectPr>
          <w:pgSz w:w="11900" w:h="16820"/>
          <w:pgMar w:header="0" w:footer="1420" w:top="1600" w:bottom="1620" w:left="1680" w:right="620"/>
        </w:sectPr>
      </w:pPr>
    </w:p>
    <w:p>
      <w:pPr>
        <w:pStyle w:val="BodyText"/>
        <w:spacing w:line="240" w:lineRule="auto" w:before="39"/>
        <w:ind w:right="144"/>
        <w:jc w:val="both"/>
      </w:pPr>
      <w:r>
        <w:rPr/>
        <w:t>Ora, no momento em que é feita a contratação, a Reclamada baliza seus atos conforme as informações passadas pelo cliente, mas explicando detalhadamente as características dos produtos e serviços. E é somente após a devida confirmação do cliente é que a solicitação é registrada e</w:t>
      </w:r>
      <w:r>
        <w:rPr>
          <w:spacing w:val="-20"/>
        </w:rPr>
        <w:t> </w:t>
      </w:r>
      <w:r>
        <w:rPr/>
        <w:t>cumprida.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45"/>
        <w:jc w:val="both"/>
      </w:pPr>
      <w:r>
        <w:rPr/>
        <w:t>Conforme as explanações e documentos aludidos, impera reconhecer a completa ausência de responsabilidade por parte da ré quanto as reclamações, não merecendo crédito os argumentos</w:t>
      </w:r>
      <w:r>
        <w:rPr>
          <w:spacing w:val="-33"/>
        </w:rPr>
        <w:t> </w:t>
      </w:r>
      <w:r>
        <w:rPr/>
        <w:t>declinados.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144"/>
        <w:jc w:val="both"/>
      </w:pPr>
      <w:r>
        <w:rPr/>
        <w:t>O que deve ser ressaltado é que ao mesmo tempo em que a fornecedora de serviços possui o dever de bem informar seus clientes, estes também devem ter o cuidado de refletir antes de firmar compromisso, eis que tal proceder implica em assunção de responsabilidades para ambas as</w:t>
      </w:r>
      <w:r>
        <w:rPr>
          <w:spacing w:val="-24"/>
        </w:rPr>
        <w:t> </w:t>
      </w:r>
      <w:r>
        <w:rPr/>
        <w:t>partes.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12"/>
        <w:jc w:val="both"/>
      </w:pPr>
      <w:r>
        <w:rPr/>
        <w:t>As alegações do autor não merecem qualquer guarida. O que </w:t>
      </w:r>
      <w:r>
        <w:rPr>
          <w:spacing w:val="4"/>
        </w:rPr>
        <w:t>se </w:t>
      </w:r>
      <w:r>
        <w:rPr>
          <w:spacing w:val="4"/>
        </w:rPr>
      </w:r>
      <w:r>
        <w:rPr/>
        <w:t>depreende da narrativa é que o mesmo se utilizou dos serviços </w:t>
      </w:r>
      <w:r>
        <w:rPr>
          <w:spacing w:val="3"/>
        </w:rPr>
        <w:t>da </w:t>
      </w:r>
      <w:r>
        <w:rPr>
          <w:spacing w:val="3"/>
        </w:rPr>
      </w:r>
      <w:r>
        <w:rPr/>
        <w:t>requerida e busca a tutela jurisdicional no intuito de esquivar-se </w:t>
      </w:r>
      <w:r>
        <w:rPr>
          <w:spacing w:val="3"/>
        </w:rPr>
        <w:t>do </w:t>
      </w:r>
      <w:r>
        <w:rPr>
          <w:spacing w:val="3"/>
        </w:rPr>
      </w:r>
      <w:r>
        <w:rPr/>
        <w:t>cumprimento de suas obrigações</w:t>
      </w:r>
      <w:r>
        <w:rPr>
          <w:spacing w:val="-21"/>
        </w:rPr>
        <w:t> </w:t>
      </w:r>
      <w:r>
        <w:rPr/>
        <w:t>inerentes.</w: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7"/>
          <w:szCs w:val="27"/>
        </w:rPr>
      </w:pPr>
    </w:p>
    <w:p>
      <w:pPr>
        <w:pStyle w:val="Heading1"/>
        <w:spacing w:line="240" w:lineRule="auto" w:before="53"/>
        <w:ind w:right="0"/>
        <w:jc w:val="both"/>
        <w:rPr>
          <w:b w:val="0"/>
          <w:bCs w:val="0"/>
        </w:rPr>
      </w:pPr>
      <w:r>
        <w:rPr>
          <w:w w:val="99"/>
        </w:rPr>
      </w:r>
      <w:r>
        <w:rPr>
          <w:shd w:fill="D9D9D9" w:color="auto" w:val="clear"/>
        </w:rPr>
        <w:t>A CULPA EXCLUSIVA DO CONSUMIDOR OU DE</w:t>
      </w:r>
      <w:r>
        <w:rPr>
          <w:spacing w:val="-25"/>
          <w:shd w:fill="D9D9D9" w:color="auto" w:val="clear"/>
        </w:rPr>
        <w:t> </w:t>
      </w:r>
      <w:r>
        <w:rPr>
          <w:shd w:fill="D9D9D9" w:color="auto" w:val="clear"/>
        </w:rPr>
        <w:t>TERCEIRO         </w:t>
      </w:r>
      <w:r>
        <w:rPr>
          <w:spacing w:val="42"/>
          <w:shd w:fill="D9D9D9" w:color="auto" w:val="clear"/>
        </w:rPr>
        <w:t> </w:t>
      </w:r>
      <w:r>
        <w:rPr>
          <w:spacing w:val="42"/>
        </w:rPr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pStyle w:val="BodyText"/>
        <w:spacing w:line="240" w:lineRule="auto"/>
        <w:ind w:right="116"/>
        <w:jc w:val="both"/>
      </w:pPr>
      <w:r>
        <w:rPr/>
        <w:t>Cabe ressaltar novamente, que o direito posto em causa é referente  a hipotético vício nos aparelhos, não podendo, de forma alguma, ser confundido com a prestação do serviço de telefonia móvel com a qual se comprometeu a</w:t>
      </w:r>
      <w:r>
        <w:rPr>
          <w:spacing w:val="-14"/>
        </w:rPr>
        <w:t> </w:t>
      </w:r>
      <w:r>
        <w:rPr/>
        <w:t>reclamada.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37" w:lineRule="auto"/>
        <w:ind w:right="108"/>
        <w:jc w:val="both"/>
      </w:pPr>
      <w:r>
        <w:rPr/>
        <w:t>Ainda, quanto ao defeito que a consumidora alega estar presente nos aparelhos adquiridos, a reclamada aduz ser muito comum que o mesmo seja decorrente do mau uso do</w:t>
      </w:r>
      <w:r>
        <w:rPr>
          <w:spacing w:val="-25"/>
        </w:rPr>
        <w:t> </w:t>
      </w:r>
      <w:r>
        <w:rPr/>
        <w:t>equipamento.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3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114"/>
        <w:jc w:val="both"/>
      </w:pPr>
      <w:r>
        <w:rPr/>
        <w:t>É que, embora a reclamada não seja a fabricante dos produtos, tem conhecimento de que, na maioria </w:t>
      </w:r>
      <w:r>
        <w:rPr>
          <w:spacing w:val="2"/>
        </w:rPr>
        <w:t>dos </w:t>
      </w:r>
      <w:r>
        <w:rPr/>
        <w:t>casos, o defeito do aparelho </w:t>
      </w:r>
      <w:r>
        <w:rPr/>
        <w:t>decorre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mau</w:t>
      </w:r>
      <w:r>
        <w:rPr>
          <w:spacing w:val="34"/>
        </w:rPr>
        <w:t> </w:t>
      </w:r>
      <w:r>
        <w:rPr/>
        <w:t>uso</w:t>
      </w:r>
      <w:r>
        <w:rPr>
          <w:spacing w:val="36"/>
        </w:rPr>
        <w:t> </w:t>
      </w:r>
      <w:r>
        <w:rPr/>
        <w:t>pelo</w:t>
      </w:r>
      <w:r>
        <w:rPr>
          <w:spacing w:val="41"/>
        </w:rPr>
        <w:t> </w:t>
      </w:r>
      <w:r>
        <w:rPr/>
        <w:t>cliente.</w:t>
      </w:r>
      <w:r>
        <w:rPr>
          <w:spacing w:val="36"/>
        </w:rPr>
        <w:t> </w:t>
      </w:r>
      <w:r>
        <w:rPr/>
        <w:t>Diante</w:t>
      </w:r>
      <w:r>
        <w:rPr>
          <w:spacing w:val="39"/>
        </w:rPr>
        <w:t> </w:t>
      </w:r>
      <w:r>
        <w:rPr/>
        <w:t>disso,</w:t>
      </w:r>
      <w:r>
        <w:rPr>
          <w:spacing w:val="36"/>
        </w:rPr>
        <w:t> </w:t>
      </w:r>
      <w:r>
        <w:rPr/>
        <w:t>cabe</w:t>
      </w:r>
      <w:r>
        <w:rPr>
          <w:spacing w:val="39"/>
        </w:rPr>
        <w:t> </w:t>
      </w:r>
      <w:r>
        <w:rPr/>
        <w:t>ao</w:t>
      </w:r>
      <w:r>
        <w:rPr>
          <w:spacing w:val="36"/>
        </w:rPr>
        <w:t> </w:t>
      </w:r>
      <w:r>
        <w:rPr/>
        <w:t>consumidor</w:t>
      </w:r>
    </w:p>
    <w:p>
      <w:pPr>
        <w:spacing w:after="0" w:line="240" w:lineRule="auto"/>
        <w:jc w:val="both"/>
        <w:sectPr>
          <w:pgSz w:w="11900" w:h="16820"/>
          <w:pgMar w:header="0" w:footer="1420" w:top="1380" w:bottom="1620" w:left="1680" w:right="620"/>
        </w:sectPr>
      </w:pPr>
    </w:p>
    <w:p>
      <w:pPr>
        <w:pStyle w:val="BodyText"/>
        <w:spacing w:line="312" w:lineRule="exact" w:before="51"/>
        <w:ind w:right="119"/>
        <w:jc w:val="both"/>
      </w:pPr>
      <w:r>
        <w:rPr/>
        <w:t>provar que o alegado defeito não é conseqüência de mau uso do equipamento.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7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15"/>
        <w:jc w:val="both"/>
      </w:pPr>
      <w:r>
        <w:rPr/>
        <w:t>Entretanto, ainda que o reclamante prove que utilizou adequadamente o equipamento, notório que nenhuma responsabilidade cabe à reclamada, visto que não fabrica o aparelho, e tampouco presta o serviço de assistência</w:t>
      </w:r>
      <w:r>
        <w:rPr>
          <w:spacing w:val="-26"/>
        </w:rPr>
        <w:t> </w:t>
      </w:r>
      <w:r>
        <w:rPr/>
        <w:t>técnica.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112"/>
        <w:jc w:val="both"/>
      </w:pPr>
      <w:r>
        <w:rPr/>
        <w:t>Assim sendo, salienta-se que a operadora é responsável </w:t>
      </w:r>
      <w:r>
        <w:rPr>
          <w:spacing w:val="2"/>
        </w:rPr>
        <w:t>pelo </w:t>
      </w:r>
      <w:r>
        <w:rPr>
          <w:spacing w:val="2"/>
        </w:rPr>
      </w:r>
      <w:r>
        <w:rPr/>
        <w:t>gerenciamento e manutenção da linha tão somente. Quanto aos </w:t>
      </w:r>
      <w:r>
        <w:rPr/>
        <w:t>aparelhos, estes são de responsabilidade do fabricante. Dessa forma, informa-se que os defeitos nos aparelhos adquiridos, devem ser solucionados pela assistência</w:t>
      </w:r>
      <w:r>
        <w:rPr>
          <w:spacing w:val="-14"/>
        </w:rPr>
        <w:t> </w:t>
      </w:r>
      <w:r>
        <w:rPr/>
        <w:t>técnica.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37" w:lineRule="auto"/>
        <w:ind w:right="116"/>
        <w:jc w:val="both"/>
      </w:pPr>
      <w:r>
        <w:rPr/>
        <w:t>Não obstante a isso, quando da assinatura do contrato de prestação de serviços de telefonia móvel, o cliente quedou-se ciente </w:t>
      </w:r>
      <w:r>
        <w:rPr>
          <w:spacing w:val="2"/>
        </w:rPr>
        <w:t>das </w:t>
      </w:r>
      <w:r>
        <w:rPr>
          <w:spacing w:val="2"/>
        </w:rPr>
      </w:r>
      <w:r>
        <w:rPr/>
        <w:t>seguintes</w:t>
      </w:r>
      <w:r>
        <w:rPr>
          <w:spacing w:val="-14"/>
        </w:rPr>
        <w:t> </w:t>
      </w:r>
      <w:r>
        <w:rPr/>
        <w:t>condições: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9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ListParagraph"/>
        <w:numPr>
          <w:ilvl w:val="1"/>
          <w:numId w:val="1"/>
        </w:numPr>
        <w:tabs>
          <w:tab w:pos="3624" w:val="left" w:leader="none"/>
        </w:tabs>
        <w:spacing w:line="240" w:lineRule="auto" w:before="0" w:after="0"/>
        <w:ind w:left="3139" w:right="119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Em caso de </w:t>
      </w:r>
      <w:r>
        <w:rPr>
          <w:rFonts w:ascii="Times New Roman" w:hAnsi="Times New Roman"/>
          <w:spacing w:val="-4"/>
          <w:sz w:val="24"/>
        </w:rPr>
        <w:t>vício </w:t>
      </w:r>
      <w:r>
        <w:rPr>
          <w:rFonts w:ascii="Times New Roman" w:hAnsi="Times New Roman"/>
          <w:sz w:val="24"/>
        </w:rPr>
        <w:t>da Estação Móvel adquirida em uma loja </w:t>
      </w:r>
      <w:r>
        <w:rPr>
          <w:rFonts w:ascii="Times New Roman" w:hAnsi="Times New Roman"/>
          <w:sz w:val="24"/>
        </w:rPr>
        <w:t>CLARO, a </w:t>
      </w:r>
      <w:r>
        <w:rPr>
          <w:rFonts w:ascii="Times New Roman" w:hAnsi="Times New Roman"/>
          <w:b/>
          <w:sz w:val="24"/>
        </w:rPr>
        <w:t>responsabilidade pela troca e/ou assistência técnica da Estação Móvel é exclusiva do fabricante </w:t>
      </w:r>
      <w:r>
        <w:rPr>
          <w:rFonts w:ascii="Times New Roman" w:hAnsi="Times New Roman"/>
          <w:sz w:val="24"/>
        </w:rPr>
        <w:t>da Estação Móvel, cujos dados de contato e condições de garantia constam </w:t>
      </w:r>
      <w:r>
        <w:rPr>
          <w:rFonts w:ascii="Times New Roman" w:hAnsi="Times New Roman"/>
          <w:spacing w:val="-3"/>
          <w:sz w:val="24"/>
        </w:rPr>
        <w:t>no </w:t>
      </w:r>
      <w:r>
        <w:rPr>
          <w:rFonts w:ascii="Times New Roman" w:hAnsi="Times New Roman"/>
          <w:spacing w:val="-3"/>
          <w:sz w:val="24"/>
        </w:rPr>
      </w:r>
      <w:r>
        <w:rPr>
          <w:rFonts w:ascii="Times New Roman" w:hAnsi="Times New Roman"/>
          <w:sz w:val="24"/>
        </w:rPr>
        <w:t>respectivo manual que acompanha a Estação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Móvel.</w:t>
      </w:r>
    </w:p>
    <w:p>
      <w:pPr>
        <w:pStyle w:val="ListParagraph"/>
        <w:numPr>
          <w:ilvl w:val="1"/>
          <w:numId w:val="1"/>
        </w:numPr>
        <w:tabs>
          <w:tab w:pos="3706" w:val="left" w:leader="none"/>
        </w:tabs>
        <w:spacing w:line="240" w:lineRule="auto" w:before="0" w:after="0"/>
        <w:ind w:left="3139" w:right="108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Quaisquer defeitos </w:t>
      </w:r>
      <w:r>
        <w:rPr>
          <w:rFonts w:ascii="Times New Roman" w:hAnsi="Times New Roman"/>
          <w:spacing w:val="-3"/>
          <w:sz w:val="24"/>
        </w:rPr>
        <w:t>na </w:t>
      </w:r>
      <w:r>
        <w:rPr>
          <w:rFonts w:ascii="Times New Roman" w:hAnsi="Times New Roman"/>
          <w:sz w:val="24"/>
        </w:rPr>
        <w:t>Estação Móvel do ASSINANTE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b/>
          <w:sz w:val="24"/>
        </w:rPr>
        <w:t>serão de inteira responsabilidade do fabricante da Estação Móvel</w:t>
      </w:r>
      <w:r>
        <w:rPr>
          <w:rFonts w:ascii="Times New Roman" w:hAnsi="Times New Roman"/>
          <w:sz w:val="24"/>
        </w:rPr>
        <w:t>, devendo o ASSINANTE encaminhar sua Estação Móvel para o serviço autorizado correspondente.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z w:val="24"/>
        </w:rPr>
        <w:t>(grifamos)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31"/>
          <w:szCs w:val="31"/>
        </w:rPr>
      </w:pPr>
    </w:p>
    <w:p>
      <w:pPr>
        <w:pStyle w:val="Heading1"/>
        <w:spacing w:line="240" w:lineRule="auto"/>
        <w:ind w:right="114"/>
        <w:jc w:val="both"/>
        <w:rPr>
          <w:b w:val="0"/>
          <w:bCs w:val="0"/>
        </w:rPr>
      </w:pPr>
      <w:r>
        <w:rPr/>
        <w:t>Portanto, caso houvesse a responsabilidade de terceiro em fornecer um novo aparelho de celular à autora, importante ressaltar que somente a fabricante ou, ainda, a própria assistência técnica, poderiam efetivar tal troca. Isso porque a operadora, nos termos da contratação firmada entre as  partes, é responsável tão somente pela prestação de serviços de</w:t>
      </w:r>
      <w:r>
        <w:rPr>
          <w:spacing w:val="-11"/>
        </w:rPr>
        <w:t> </w:t>
      </w:r>
      <w:r>
        <w:rPr/>
        <w:t>telefonia.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114"/>
        <w:jc w:val="both"/>
      </w:pPr>
      <w:r>
        <w:rPr/>
        <w:t>Todavia, em caso de impossibilidade de conserto do aparelho, no prazo de 30 dias, o fabricante do aparelho deve ser informado   </w:t>
      </w:r>
      <w:r>
        <w:rPr>
          <w:spacing w:val="26"/>
        </w:rPr>
        <w:t> </w:t>
      </w:r>
      <w:r>
        <w:rPr/>
        <w:t>para</w:t>
      </w:r>
    </w:p>
    <w:p>
      <w:pPr>
        <w:spacing w:after="0" w:line="240" w:lineRule="auto"/>
        <w:jc w:val="both"/>
        <w:sectPr>
          <w:pgSz w:w="11900" w:h="16820"/>
          <w:pgMar w:header="0" w:footer="1420" w:top="1380" w:bottom="1620" w:left="1680" w:right="620"/>
        </w:sectPr>
      </w:pPr>
    </w:p>
    <w:p>
      <w:pPr>
        <w:pStyle w:val="BodyText"/>
        <w:spacing w:line="312" w:lineRule="exact" w:before="51"/>
        <w:ind w:right="135"/>
        <w:jc w:val="both"/>
      </w:pPr>
      <w:r>
        <w:rPr/>
        <w:t>substituição do equipamento, conforme disposto no Código de Defesa do</w:t>
      </w:r>
      <w:r>
        <w:rPr>
          <w:spacing w:val="-3"/>
        </w:rPr>
        <w:t> </w:t>
      </w:r>
      <w:r>
        <w:rPr/>
        <w:t>Consumidor.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7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40"/>
        <w:jc w:val="both"/>
      </w:pPr>
      <w:r>
        <w:rPr/>
        <w:t>Nesse sentido, incide no caso em tela o disposto no artigo 14, § 3°, II, do Código Consumeirista, que assim</w:t>
      </w:r>
      <w:r>
        <w:rPr>
          <w:spacing w:val="-19"/>
        </w:rPr>
        <w:t> </w:t>
      </w:r>
      <w:r>
        <w:rPr/>
        <w:t>dispõe: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7"/>
        <w:rPr>
          <w:rFonts w:ascii="Verdana" w:hAnsi="Verdana" w:cs="Verdana" w:eastAsia="Verdana" w:hint="default"/>
          <w:sz w:val="22"/>
          <w:szCs w:val="22"/>
        </w:rPr>
      </w:pPr>
    </w:p>
    <w:p>
      <w:pPr>
        <w:spacing w:line="275" w:lineRule="exact" w:before="0"/>
        <w:ind w:left="3139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Art.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14</w:t>
      </w:r>
      <w:r>
        <w:rPr>
          <w:rFonts w:ascii="Times New Roman"/>
          <w:sz w:val="24"/>
        </w:rPr>
      </w:r>
    </w:p>
    <w:p>
      <w:pPr>
        <w:spacing w:line="242" w:lineRule="auto" w:before="0"/>
        <w:ind w:left="3139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§ 3º O fornecedor de serviços só não será responsabilizado quando</w:t>
      </w:r>
      <w:r>
        <w:rPr>
          <w:rFonts w:ascii="Times New Roman" w:hAnsi="Times New Roman" w:cs="Times New Roman" w:eastAsia="Times New Roman" w:hint="default"/>
          <w:b/>
          <w:bCs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provar: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271" w:lineRule="exact" w:before="0"/>
        <w:ind w:left="3139" w:right="0" w:firstLine="0"/>
        <w:jc w:val="lef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II – a culpa exclusiva do consumidor ou de</w:t>
      </w:r>
      <w:r>
        <w:rPr>
          <w:rFonts w:ascii="Times New Roman" w:hAnsi="Times New Roman" w:cs="Times New Roman" w:eastAsia="Times New Roman" w:hint="default"/>
          <w:b/>
          <w:bCs/>
          <w:spacing w:val="-30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terceiro.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b/>
          <w:bCs/>
          <w:sz w:val="31"/>
          <w:szCs w:val="31"/>
        </w:rPr>
      </w:pPr>
    </w:p>
    <w:p>
      <w:pPr>
        <w:pStyle w:val="BodyText"/>
        <w:spacing w:line="240" w:lineRule="auto"/>
        <w:ind w:right="136"/>
        <w:jc w:val="both"/>
      </w:pPr>
      <w:r>
        <w:rPr/>
        <w:t>Assim, se comprovado pelo reclamante sua ausência </w:t>
      </w:r>
      <w:r>
        <w:rPr>
          <w:spacing w:val="3"/>
        </w:rPr>
        <w:t>de </w:t>
      </w:r>
      <w:r>
        <w:rPr>
          <w:spacing w:val="3"/>
        </w:rPr>
      </w:r>
      <w:r>
        <w:rPr/>
        <w:t>responsabilidade no que tange aos alegados defeitos apresentados </w:t>
      </w:r>
      <w:r>
        <w:rPr/>
        <w:t>nos aparelhos, resta de todo evidente a culpa exclusiva de terceiro, vindo a romper o nexo causal entre a ação do fornecedor do serviço de telefonia, e o dano causado à</w:t>
      </w:r>
      <w:r>
        <w:rPr>
          <w:spacing w:val="-22"/>
        </w:rPr>
        <w:t> </w:t>
      </w:r>
      <w:r>
        <w:rPr/>
        <w:t>consumidora.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34"/>
        <w:jc w:val="both"/>
      </w:pPr>
      <w:r>
        <w:rPr/>
        <w:t>Portanto, diante dos fatos narrados, requer-se, desde já, seja a presente ação julgada improcedente, com a sua posterior baixa e arquivamento.</w: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7"/>
          <w:szCs w:val="27"/>
        </w:rPr>
      </w:pPr>
    </w:p>
    <w:p>
      <w:pPr>
        <w:pStyle w:val="Heading1"/>
        <w:tabs>
          <w:tab w:pos="9513" w:val="left" w:leader="none"/>
        </w:tabs>
        <w:spacing w:line="240" w:lineRule="auto" w:before="53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hd w:fill="D9D9D9" w:color="auto" w:val="clear"/>
        </w:rPr>
        <w:t>OS REQUISITOS DA RESPONSABILIDADE</w:t>
      </w:r>
      <w:r>
        <w:rPr>
          <w:spacing w:val="-24"/>
          <w:shd w:fill="D9D9D9" w:color="auto" w:val="clear"/>
        </w:rPr>
        <w:t> </w:t>
      </w:r>
      <w:r>
        <w:rPr>
          <w:shd w:fill="D9D9D9" w:color="auto" w:val="clear"/>
        </w:rPr>
        <w:t>CIVIL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t>Da análise atenta do caso dos autos, depreende-se estarem ausentes os pressupostos legais ensejadores </w:t>
      </w:r>
      <w:r>
        <w:rPr>
          <w:spacing w:val="3"/>
        </w:rPr>
        <w:t>da </w:t>
      </w:r>
      <w:r>
        <w:rPr/>
        <w:t>responsabilidade</w:t>
      </w:r>
      <w:r>
        <w:rPr>
          <w:spacing w:val="-36"/>
        </w:rPr>
        <w:t> </w:t>
      </w:r>
      <w:r>
        <w:rPr/>
        <w:t>civil.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/>
        <w:t>Os requisitos da responsabilidade civil são claros: </w:t>
      </w:r>
      <w:r>
        <w:rPr>
          <w:rFonts w:ascii="Verdana" w:hAnsi="Verdana"/>
          <w:b/>
        </w:rPr>
        <w:t>(a) </w:t>
      </w:r>
      <w:r>
        <w:rPr/>
        <w:t>existência </w:t>
      </w:r>
      <w:r>
        <w:rPr>
          <w:spacing w:val="3"/>
        </w:rPr>
        <w:t>de </w:t>
      </w:r>
      <w:r>
        <w:rPr>
          <w:spacing w:val="3"/>
        </w:rPr>
      </w:r>
      <w:r>
        <w:rPr/>
        <w:t>ação, comissiva ou omissiva, qualificada juridicamente -    </w:t>
      </w:r>
      <w:r>
        <w:rPr>
          <w:spacing w:val="7"/>
        </w:rPr>
        <w:t> </w:t>
      </w:r>
      <w:r>
        <w:rPr/>
        <w:t>ato ilícito;</w:t>
      </w:r>
    </w:p>
    <w:p>
      <w:pPr>
        <w:pStyle w:val="BodyText"/>
        <w:tabs>
          <w:tab w:pos="3038" w:val="left" w:leader="none"/>
          <w:tab w:pos="3657" w:val="left" w:leader="none"/>
          <w:tab w:pos="4497" w:val="left" w:leader="none"/>
          <w:tab w:pos="4819" w:val="left" w:leader="none"/>
          <w:tab w:pos="5774" w:val="left" w:leader="none"/>
          <w:tab w:pos="6298" w:val="left" w:leader="none"/>
          <w:tab w:pos="7694" w:val="left" w:leader="none"/>
          <w:tab w:pos="9158" w:val="left" w:leader="none"/>
        </w:tabs>
        <w:spacing w:line="240" w:lineRule="auto" w:before="1"/>
        <w:ind w:right="137"/>
        <w:jc w:val="left"/>
      </w:pPr>
      <w:r>
        <w:rPr>
          <w:rFonts w:ascii="Verdana" w:hAnsi="Verdana"/>
          <w:b/>
        </w:rPr>
        <w:t>(b)  </w:t>
      </w:r>
      <w:r>
        <w:rPr>
          <w:rFonts w:ascii="Verdana" w:hAnsi="Verdana"/>
          <w:b/>
          <w:spacing w:val="10"/>
        </w:rPr>
        <w:t> </w:t>
      </w:r>
      <w:r>
        <w:rPr/>
        <w:t>ocorrência  </w:t>
      </w:r>
      <w:r>
        <w:rPr>
          <w:spacing w:val="1"/>
        </w:rPr>
        <w:t> </w:t>
      </w:r>
      <w:r>
        <w:rPr/>
        <w:t>de</w:t>
        <w:tab/>
        <w:t>um</w:t>
        <w:tab/>
        <w:t>dano</w:t>
        <w:tab/>
        <w:t>-</w:t>
        <w:tab/>
        <w:t>moral</w:t>
        <w:tab/>
        <w:t>ou</w:t>
        <w:tab/>
        <w:t>material;</w:t>
        <w:tab/>
      </w:r>
      <w:r>
        <w:rPr>
          <w:rFonts w:ascii="Verdana" w:hAnsi="Verdana"/>
          <w:b/>
        </w:rPr>
        <w:t>(c)  </w:t>
      </w:r>
      <w:r>
        <w:rPr>
          <w:rFonts w:ascii="Verdana" w:hAnsi="Verdana"/>
          <w:b/>
          <w:spacing w:val="85"/>
        </w:rPr>
        <w:t> </w:t>
      </w:r>
      <w:r>
        <w:rPr/>
        <w:t>nexo</w:t>
        <w:tab/>
      </w:r>
      <w:r>
        <w:rPr>
          <w:spacing w:val="3"/>
        </w:rPr>
        <w:t>de </w:t>
      </w:r>
      <w:r>
        <w:rPr>
          <w:spacing w:val="3"/>
        </w:rPr>
      </w:r>
      <w:r>
        <w:rPr/>
        <w:t>causalidade entre a conduta praticada e o dano</w:t>
      </w:r>
      <w:r>
        <w:rPr>
          <w:spacing w:val="-30"/>
        </w:rPr>
        <w:t> </w:t>
      </w:r>
      <w:r>
        <w:rPr/>
        <w:t>sofrido.</w: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7"/>
          <w:szCs w:val="27"/>
        </w:rPr>
      </w:pPr>
    </w:p>
    <w:p>
      <w:pPr>
        <w:pStyle w:val="Heading1"/>
        <w:tabs>
          <w:tab w:pos="9513" w:val="left" w:leader="none"/>
        </w:tabs>
        <w:spacing w:line="240" w:lineRule="auto" w:before="53"/>
        <w:ind w:right="0"/>
        <w:jc w:val="both"/>
        <w:rPr>
          <w:b w:val="0"/>
          <w:bCs w:val="0"/>
        </w:rPr>
      </w:pPr>
      <w:r>
        <w:rPr>
          <w:w w:val="99"/>
        </w:rPr>
      </w:r>
      <w:r>
        <w:rPr>
          <w:shd w:fill="D9D9D9" w:color="auto" w:val="clear"/>
        </w:rPr>
        <w:t>A INEXISTÊNCIA DE ATO</w:t>
      </w:r>
      <w:r>
        <w:rPr>
          <w:spacing w:val="-19"/>
          <w:shd w:fill="D9D9D9" w:color="auto" w:val="clear"/>
        </w:rPr>
        <w:t> </w:t>
      </w:r>
      <w:r>
        <w:rPr>
          <w:shd w:fill="D9D9D9" w:color="auto" w:val="clear"/>
        </w:rPr>
        <w:t>ILÍCITO</w:t>
        <w:tab/>
      </w:r>
      <w:r>
        <w:rPr/>
      </w:r>
      <w:r>
        <w:rPr>
          <w:b w:val="0"/>
        </w:rPr>
      </w:r>
    </w:p>
    <w:p>
      <w:pPr>
        <w:spacing w:line="240" w:lineRule="auto" w:before="2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pStyle w:val="BodyText"/>
        <w:spacing w:line="240" w:lineRule="auto"/>
        <w:ind w:right="135"/>
        <w:jc w:val="both"/>
      </w:pPr>
      <w:r>
        <w:rPr/>
        <w:t>Não há nos autos singular prova de que a demandada tenha  praticado qualquer ato que possa ser caracterizado como ilícito, nos termos do art. 186 do</w:t>
      </w:r>
      <w:r>
        <w:rPr>
          <w:spacing w:val="-11"/>
        </w:rPr>
        <w:t> </w:t>
      </w:r>
      <w:r>
        <w:rPr/>
        <w:t>CC.</w:t>
      </w:r>
    </w:p>
    <w:p>
      <w:pPr>
        <w:spacing w:after="0" w:line="240" w:lineRule="auto"/>
        <w:jc w:val="both"/>
        <w:sectPr>
          <w:pgSz w:w="11900" w:h="16820"/>
          <w:pgMar w:header="0" w:footer="1420" w:top="1380" w:bottom="1620" w:left="1680" w:right="600"/>
        </w:sectPr>
      </w:pPr>
    </w:p>
    <w:p>
      <w:pPr>
        <w:spacing w:line="240" w:lineRule="auto" w:before="39"/>
        <w:ind w:left="302" w:right="115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 w:cs="Verdana" w:eastAsia="Verdana" w:hint="default"/>
          <w:sz w:val="26"/>
          <w:szCs w:val="26"/>
        </w:rPr>
        <w:t>De acordo com o art. 186 do CC: </w:t>
      </w:r>
      <w:r>
        <w:rPr>
          <w:rFonts w:ascii="Verdana" w:hAnsi="Verdana" w:cs="Verdana" w:eastAsia="Verdana" w:hint="default"/>
          <w:i/>
          <w:sz w:val="26"/>
          <w:szCs w:val="26"/>
        </w:rPr>
        <w:t>“Aquele que, por ação ou omissão voluntária, negligência ou imprudência, violar direito e causar dano a outrem, ainda que exclusivamente moral, comete ato ilícito”</w:t>
      </w:r>
      <w:r>
        <w:rPr>
          <w:rFonts w:ascii="Verdana" w:hAnsi="Verdana" w:cs="Verdana" w:eastAsia="Verdana" w:hint="default"/>
          <w:sz w:val="26"/>
          <w:szCs w:val="26"/>
        </w:rPr>
        <w:t>. No entanto, não há qualquer prova de que a empresa tenha praticado qualquer conduta capaz de gerar o alegado dano, ou que tenha agido com negligência ou</w:t>
      </w:r>
      <w:r>
        <w:rPr>
          <w:rFonts w:ascii="Verdana" w:hAnsi="Verdana" w:cs="Verdana" w:eastAsia="Verdana" w:hint="default"/>
          <w:spacing w:val="-21"/>
          <w:sz w:val="26"/>
          <w:szCs w:val="26"/>
        </w:rPr>
        <w:t> </w:t>
      </w:r>
      <w:r>
        <w:rPr>
          <w:rFonts w:ascii="Verdana" w:hAnsi="Verdana" w:cs="Verdana" w:eastAsia="Verdana" w:hint="default"/>
          <w:sz w:val="26"/>
          <w:szCs w:val="26"/>
        </w:rPr>
        <w:t>imprudência.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16"/>
        <w:jc w:val="both"/>
      </w:pPr>
      <w:r>
        <w:rPr/>
        <w:t>Assim, diante dos fatos narrados, e das provas trazidas aos  presentes autos, que demonstram a total ausência de ato ilícito </w:t>
      </w:r>
      <w:r>
        <w:rPr>
          <w:spacing w:val="3"/>
        </w:rPr>
        <w:t>da </w:t>
      </w:r>
      <w:r>
        <w:rPr>
          <w:spacing w:val="3"/>
        </w:rPr>
      </w:r>
      <w:r>
        <w:rPr/>
        <w:t>demandada, resta afastada a hipótese de incidência do disposto nos </w:t>
      </w:r>
      <w:r>
        <w:rPr/>
        <w:t>artigos 186 e 927, do CC, não havendo que se falar em qualquer espécie de</w:t>
      </w:r>
      <w:r>
        <w:rPr>
          <w:spacing w:val="-12"/>
        </w:rPr>
        <w:t> </w:t>
      </w:r>
      <w:r>
        <w:rPr/>
        <w:t>condenação.</w: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7"/>
          <w:szCs w:val="27"/>
        </w:rPr>
      </w:pPr>
    </w:p>
    <w:p>
      <w:pPr>
        <w:pStyle w:val="Heading1"/>
        <w:tabs>
          <w:tab w:pos="9484" w:val="left" w:leader="none"/>
        </w:tabs>
        <w:spacing w:line="240" w:lineRule="auto" w:before="53"/>
        <w:ind w:right="0"/>
        <w:jc w:val="both"/>
        <w:rPr>
          <w:b w:val="0"/>
          <w:bCs w:val="0"/>
        </w:rPr>
      </w:pPr>
      <w:r>
        <w:rPr>
          <w:w w:val="99"/>
        </w:rPr>
      </w:r>
      <w:r>
        <w:rPr>
          <w:shd w:fill="D9D9D9" w:color="auto" w:val="clear"/>
        </w:rPr>
        <w:t>AUSÊNCIA DO NECESSÁRIO NEXO DE</w:t>
      </w:r>
      <w:r>
        <w:rPr>
          <w:spacing w:val="-25"/>
          <w:shd w:fill="D9D9D9" w:color="auto" w:val="clear"/>
        </w:rPr>
        <w:t> </w:t>
      </w:r>
      <w:r>
        <w:rPr>
          <w:shd w:fill="D9D9D9" w:color="auto" w:val="clear"/>
        </w:rPr>
        <w:t>CAUSALIDADE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4"/>
        <w:rPr>
          <w:rFonts w:ascii="Verdana" w:hAnsi="Verdana" w:cs="Verdana" w:eastAsia="Verdana" w:hint="default"/>
          <w:b/>
          <w:bCs/>
          <w:sz w:val="36"/>
          <w:szCs w:val="36"/>
        </w:rPr>
      </w:pPr>
    </w:p>
    <w:p>
      <w:pPr>
        <w:pStyle w:val="BodyText"/>
        <w:spacing w:line="237" w:lineRule="auto"/>
        <w:ind w:right="117"/>
        <w:jc w:val="both"/>
      </w:pPr>
      <w:r>
        <w:rPr/>
        <w:pict>
          <v:group style="position:absolute;margin-left:99.120003pt;margin-top:77.73912pt;width:92.4pt;height:.1pt;mso-position-horizontal-relative:page;mso-position-vertical-relative:paragraph;z-index:-10552" coordorigin="1982,1555" coordsize="1848,2">
            <v:shape style="position:absolute;left:1982;top:1555;width:1848;height:2" coordorigin="1982,1555" coordsize="1848,0" path="m1982,1555l3830,1555e" filled="false" stroked="true" strokeweight="1.44pt" strokecolor="#000000">
              <v:path arrowok="t"/>
            </v:shape>
            <w10:wrap type="none"/>
          </v:group>
        </w:pict>
      </w:r>
      <w:r>
        <w:rPr/>
        <w:t>Conforme demonstrado, a empresa demandada não causou qualquer dano à demandante. Neste contexto, denota-se estar  ausente um dos requisitos necessários para a configuração do dever de indenizar. Não está presente no caso dos autos, </w:t>
      </w:r>
      <w:r>
        <w:rPr>
          <w:rFonts w:ascii="Verdana" w:hAnsi="Verdana"/>
          <w:b/>
        </w:rPr>
      </w:r>
      <w:r>
        <w:rPr>
          <w:rFonts w:ascii="Verdana" w:hAnsi="Verdana"/>
          <w:b/>
          <w:u w:val="thick" w:color="000000"/>
        </w:rPr>
        <w:t>o necessário nexo de </w: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t>causalidade</w:t>
      </w:r>
      <w:r>
        <w:rPr>
          <w:rFonts w:ascii="Verdana" w:hAnsi="Verdana"/>
          <w:b/>
          <w:position w:val="12"/>
          <w:sz w:val="16"/>
        </w:rPr>
        <w:t>2</w:t>
      </w:r>
      <w:r>
        <w:rPr/>
        <w:t>, condição indispensável para a caracterização do dever de</w:t>
      </w:r>
      <w:r>
        <w:rPr>
          <w:spacing w:val="-11"/>
        </w:rPr>
        <w:t> </w:t>
      </w:r>
      <w:r>
        <w:rPr/>
        <w:t>reparar.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16"/>
        <w:jc w:val="both"/>
      </w:pPr>
      <w:r>
        <w:rPr/>
        <w:t>Ademais, mesmo considerando que os fatos narrados pelo demandante fossem verdadeiros, o que se admite apenas a título de argumentação, não estaria presente o nexo de causalidade no presente</w:t>
      </w:r>
      <w:r>
        <w:rPr>
          <w:spacing w:val="-12"/>
        </w:rPr>
        <w:t> </w:t>
      </w:r>
      <w:r>
        <w:rPr/>
        <w:t>caso.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114"/>
        <w:jc w:val="both"/>
      </w:pPr>
      <w:r>
        <w:rPr/>
        <w:t>Portanto, estando ausente requisito indispensável para  a configuração do dever de reparar, qual seja, o nexo causal, não há  de se falar em condenação da demandada em razão de supostos danos morais sofridos pelo</w:t>
      </w:r>
      <w:r>
        <w:rPr>
          <w:spacing w:val="-16"/>
        </w:rPr>
        <w:t> </w:t>
      </w:r>
      <w:r>
        <w:rPr/>
        <w:t>autor.</w: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 w:hint="default"/>
          <w:sz w:val="18"/>
          <w:szCs w:val="18"/>
        </w:rPr>
      </w:pPr>
      <w:r>
        <w:rPr/>
        <w:pict>
          <v:group style="position:absolute;margin-left:99.120003pt;margin-top:12.583906pt;width:144pt;height:.1pt;mso-position-horizontal-relative:page;mso-position-vertical-relative:paragraph;z-index:1144;mso-wrap-distance-left:0;mso-wrap-distance-right:0" coordorigin="1982,252" coordsize="2880,2">
            <v:shape style="position:absolute;left:1982;top:252;width:2880;height:2" coordorigin="1982,252" coordsize="2880,0" path="m1982,252l4862,252e" filled="false" stroked="true" strokeweight=".48pt" strokecolor="#000000">
              <v:path arrowok="t"/>
            </v:shape>
            <w10:wrap type="topAndBottom"/>
          </v:group>
        </w:pict>
      </w:r>
    </w:p>
    <w:p>
      <w:pPr>
        <w:spacing w:before="33"/>
        <w:ind w:left="302" w:right="111" w:firstLine="0"/>
        <w:jc w:val="both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9"/>
          <w:sz w:val="13"/>
          <w:szCs w:val="13"/>
        </w:rPr>
        <w:t>2 </w:t>
      </w:r>
      <w:r>
        <w:rPr>
          <w:rFonts w:ascii="Times New Roman" w:hAnsi="Times New Roman" w:cs="Times New Roman" w:eastAsia="Times New Roman" w:hint="default"/>
          <w:spacing w:val="-2"/>
          <w:sz w:val="20"/>
          <w:szCs w:val="20"/>
        </w:rPr>
        <w:t>“Se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a vítima sofre dano, mas não se evidencia o liame de causalidade </w:t>
      </w:r>
      <w:r>
        <w:rPr>
          <w:rFonts w:ascii="Times New Roman" w:hAnsi="Times New Roman" w:cs="Times New Roman" w:eastAsia="Times New Roman" w:hint="default"/>
          <w:spacing w:val="-3"/>
          <w:sz w:val="20"/>
          <w:szCs w:val="20"/>
        </w:rPr>
        <w:t>com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o comportamento do réu, 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improcedente será o pleito indenizatório.” Miguel Kfouri Neto. Responsabilidade Civil do Médico, 3ª edição, Editora Revista dos Tribunais, 1998, p.</w:t>
      </w:r>
      <w:r>
        <w:rPr>
          <w:rFonts w:ascii="Times New Roman" w:hAnsi="Times New Roman" w:cs="Times New Roman" w:eastAsia="Times New Roman" w:hint="default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sz w:val="20"/>
          <w:szCs w:val="20"/>
        </w:rPr>
        <w:t>98</w:t>
      </w:r>
    </w:p>
    <w:p>
      <w:pPr>
        <w:spacing w:after="0"/>
        <w:jc w:val="both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20"/>
          <w:pgMar w:header="0" w:footer="1420" w:top="1380" w:bottom="1600" w:left="1680" w:right="620"/>
        </w:sectPr>
      </w:pPr>
    </w:p>
    <w:p>
      <w:pPr>
        <w:pStyle w:val="Heading1"/>
        <w:tabs>
          <w:tab w:pos="9484" w:val="left" w:leader="none"/>
        </w:tabs>
        <w:spacing w:line="240" w:lineRule="auto" w:before="39"/>
        <w:ind w:right="0"/>
        <w:jc w:val="both"/>
        <w:rPr>
          <w:b w:val="0"/>
          <w:bCs w:val="0"/>
        </w:rPr>
      </w:pPr>
      <w:r>
        <w:rPr>
          <w:w w:val="99"/>
        </w:rPr>
      </w:r>
      <w:r>
        <w:rPr>
          <w:shd w:fill="D9D9D9" w:color="auto" w:val="clear"/>
        </w:rPr>
        <w:t>O ÔNUS DA</w:t>
      </w:r>
      <w:r>
        <w:rPr>
          <w:spacing w:val="-15"/>
          <w:shd w:fill="D9D9D9" w:color="auto" w:val="clear"/>
        </w:rPr>
        <w:t> </w:t>
      </w:r>
      <w:r>
        <w:rPr>
          <w:shd w:fill="D9D9D9" w:color="auto" w:val="clear"/>
        </w:rPr>
        <w:t>PROVA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110"/>
        <w:jc w:val="both"/>
        <w:rPr>
          <w:rFonts w:ascii="Verdana" w:hAnsi="Verdana" w:cs="Verdana" w:eastAsia="Verdana" w:hint="default"/>
        </w:rPr>
      </w:pPr>
      <w:r>
        <w:rPr/>
        <w:t>Por fim, fundamental referir que, em observância às regras processuais acerca do ônus </w:t>
      </w:r>
      <w:r>
        <w:rPr>
          <w:spacing w:val="3"/>
        </w:rPr>
        <w:t>da </w:t>
      </w:r>
      <w:r>
        <w:rPr/>
        <w:t>prova, incumbe a parte autora fazer </w:t>
      </w:r>
      <w:r>
        <w:rPr/>
        <w:t>prova de suas alegações, atraindo para si o </w:t>
      </w:r>
      <w:r>
        <w:rPr>
          <w:rFonts w:ascii="Verdana" w:hAnsi="Verdana"/>
          <w:i/>
        </w:rPr>
        <w:t>ônus probandi</w:t>
      </w:r>
      <w:r>
        <w:rPr/>
        <w:t>, ao fazer uso da regra geral, contida no art. 330 do CPC, na medida em que a realização do negócio esta</w:t>
      </w:r>
      <w:r>
        <w:rPr>
          <w:spacing w:val="-21"/>
        </w:rPr>
        <w:t> </w:t>
      </w:r>
      <w:r>
        <w:rPr/>
        <w:t>clara</w:t>
      </w:r>
      <w:r>
        <w:rPr>
          <w:rFonts w:ascii="Verdana" w:hAnsi="Verdana"/>
          <w:i/>
        </w:rPr>
        <w:t>.</w:t>
      </w:r>
      <w:r>
        <w:rPr>
          <w:rFonts w:ascii="Verdana" w:hAnsi="Verdana"/>
        </w:rPr>
      </w:r>
    </w:p>
    <w:p>
      <w:pPr>
        <w:spacing w:line="240" w:lineRule="auto" w:before="0"/>
        <w:rPr>
          <w:rFonts w:ascii="Verdana" w:hAnsi="Verdana" w:cs="Verdana" w:eastAsia="Verdana" w:hint="default"/>
          <w:i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i/>
          <w:sz w:val="26"/>
          <w:szCs w:val="26"/>
        </w:rPr>
      </w:pPr>
    </w:p>
    <w:p>
      <w:pPr>
        <w:pStyle w:val="BodyText"/>
        <w:spacing w:line="240" w:lineRule="auto"/>
        <w:ind w:right="216"/>
        <w:jc w:val="both"/>
        <w:rPr>
          <w:rFonts w:ascii="Verdana" w:hAnsi="Verdana" w:cs="Verdana" w:eastAsia="Verdana" w:hint="default"/>
        </w:rPr>
      </w:pPr>
      <w:r>
        <w:rPr/>
        <w:t>Isso porque, não pode o judiciário permitir triunfar pretensão que não possua nenhuma carga probatória favorável ao direito alegado pelo demandante e, decretar a inversão do ônus</w:t>
      </w:r>
      <w:r>
        <w:rPr>
          <w:spacing w:val="-31"/>
        </w:rPr>
        <w:t> </w:t>
      </w:r>
      <w:r>
        <w:rPr>
          <w:rFonts w:ascii="Verdana" w:hAnsi="Verdana"/>
          <w:i/>
        </w:rPr>
        <w:t>probandi.</w:t>
      </w:r>
      <w:r>
        <w:rPr>
          <w:rFonts w:ascii="Verdana" w:hAnsi="Verdana"/>
        </w:rPr>
      </w:r>
    </w:p>
    <w:p>
      <w:pPr>
        <w:spacing w:line="240" w:lineRule="auto" w:before="0"/>
        <w:rPr>
          <w:rFonts w:ascii="Verdana" w:hAnsi="Verdana" w:cs="Verdana" w:eastAsia="Verdana" w:hint="default"/>
          <w:i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i/>
          <w:sz w:val="25"/>
          <w:szCs w:val="25"/>
        </w:rPr>
      </w:pPr>
    </w:p>
    <w:p>
      <w:pPr>
        <w:spacing w:before="0"/>
        <w:ind w:left="302" w:right="216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Além disso, </w:t>
      </w:r>
      <w:r>
        <w:rPr>
          <w:rFonts w:ascii="Verdana" w:hAnsi="Verdana"/>
          <w:b/>
          <w:sz w:val="26"/>
        </w:rPr>
        <w:t>no caso em tela, encontram-se ausentes os elementos possibilitadores desta inversão</w:t>
      </w:r>
      <w:r>
        <w:rPr>
          <w:rFonts w:ascii="Verdana" w:hAnsi="Verdana"/>
          <w:sz w:val="26"/>
        </w:rPr>
        <w:t>, quais sejam, a verossimilhança ou a</w:t>
      </w:r>
      <w:r>
        <w:rPr>
          <w:rFonts w:ascii="Verdana" w:hAnsi="Verdana"/>
          <w:spacing w:val="-18"/>
          <w:sz w:val="26"/>
        </w:rPr>
        <w:t> </w:t>
      </w:r>
      <w:r>
        <w:rPr>
          <w:rFonts w:ascii="Verdana" w:hAnsi="Verdana"/>
          <w:sz w:val="26"/>
        </w:rPr>
        <w:t>hipossuficiência.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3"/>
          <w:szCs w:val="23"/>
        </w:rPr>
      </w:pPr>
    </w:p>
    <w:p>
      <w:pPr>
        <w:pStyle w:val="Heading1"/>
        <w:spacing w:line="240" w:lineRule="auto"/>
        <w:ind w:right="207"/>
        <w:jc w:val="both"/>
        <w:rPr>
          <w:b w:val="0"/>
          <w:bCs w:val="0"/>
        </w:rPr>
      </w:pPr>
      <w:r>
        <w:rPr/>
        <w:t>A respeito deste ponto, assevera Humberto Theodoro Júnior</w:t>
      </w:r>
      <w:r>
        <w:rPr>
          <w:position w:val="12"/>
          <w:sz w:val="17"/>
        </w:rPr>
        <w:t>3 </w:t>
      </w:r>
      <w:r>
        <w:rPr>
          <w:position w:val="12"/>
          <w:sz w:val="17"/>
        </w:rPr>
      </w:r>
      <w:r>
        <w:rPr/>
        <w:t>que </w:t>
      </w:r>
      <w:r>
        <w:rPr>
          <w:u w:val="thick" w:color="000000"/>
        </w:rPr>
        <w:t>as normas de inversão do ônus da prova no CDC devem </w:t>
      </w:r>
      <w:r>
        <w:rPr/>
      </w:r>
      <w:r>
        <w:rPr/>
      </w:r>
      <w:r>
        <w:rPr>
          <w:u w:val="thick" w:color="000000"/>
        </w:rPr>
        <w:t>ser entendidas extraordinariamente e não como uma norma </w:t>
      </w:r>
      <w:r>
        <w:rPr/>
      </w:r>
      <w:r>
        <w:rPr/>
      </w:r>
      <w:r>
        <w:rPr>
          <w:u w:val="thick" w:color="000000"/>
        </w:rPr>
        <w:t>geral automática de observação em todo e qualquer processo </w:t>
      </w:r>
      <w:r>
        <w:rPr/>
      </w:r>
      <w:r>
        <w:rPr/>
      </w:r>
      <w:r>
        <w:rPr>
          <w:u w:val="thick" w:color="000000"/>
        </w:rPr>
        <w:t>pertinente a relação de consumo (devendo, é claro, ser feita </w:t>
      </w:r>
      <w:r>
        <w:rPr/>
      </w:r>
      <w:r>
        <w:rPr/>
      </w:r>
      <w:r>
        <w:rPr>
          <w:u w:val="thick" w:color="000000"/>
        </w:rPr>
        <w:t>análise se efetivamente se trata de um caso de relação de </w:t>
      </w:r>
      <w:r>
        <w:rPr/>
      </w:r>
      <w:r>
        <w:rPr/>
      </w:r>
      <w:r>
        <w:rPr>
          <w:u w:val="thick" w:color="000000"/>
        </w:rPr>
        <w:t>consumo).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0"/>
          <w:szCs w:val="20"/>
        </w:rPr>
      </w:pPr>
    </w:p>
    <w:p>
      <w:pPr>
        <w:spacing w:line="240" w:lineRule="auto" w:before="10"/>
        <w:rPr>
          <w:rFonts w:ascii="Verdana" w:hAnsi="Verdana" w:cs="Verdana" w:eastAsia="Verdana" w:hint="default"/>
          <w:b/>
          <w:bCs/>
          <w:sz w:val="27"/>
          <w:szCs w:val="27"/>
        </w:rPr>
      </w:pPr>
    </w:p>
    <w:p>
      <w:pPr>
        <w:pStyle w:val="BodyText"/>
        <w:spacing w:line="237" w:lineRule="auto" w:before="55"/>
        <w:ind w:right="216"/>
        <w:jc w:val="both"/>
      </w:pPr>
      <w:r>
        <w:rPr/>
        <w:t>A determinação </w:t>
      </w:r>
      <w:r>
        <w:rPr>
          <w:spacing w:val="3"/>
        </w:rPr>
        <w:t>da </w:t>
      </w:r>
      <w:r>
        <w:rPr/>
        <w:t>inversão do ônus probatório no presente caso, </w:t>
      </w:r>
      <w:r>
        <w:rPr/>
        <w:t>classificar-se-ia como inaceitável vez que acarretaria evidente cerceamento de defesa para a</w:t>
      </w:r>
      <w:r>
        <w:rPr>
          <w:spacing w:val="-16"/>
        </w:rPr>
        <w:t> </w:t>
      </w:r>
      <w:r>
        <w:rPr/>
        <w:t>empresa.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3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right="217"/>
        <w:jc w:val="both"/>
      </w:pPr>
      <w:r>
        <w:rPr/>
        <w:t>Sobre o ponto, colaciona-se recente decisão do Superior Tribunal </w:t>
      </w:r>
      <w:r>
        <w:rPr>
          <w:spacing w:val="3"/>
        </w:rPr>
        <w:t>de </w:t>
      </w:r>
      <w:r>
        <w:rPr>
          <w:spacing w:val="3"/>
        </w:rPr>
      </w:r>
      <w:r>
        <w:rPr/>
        <w:t>Justiça.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4"/>
        <w:rPr>
          <w:rFonts w:ascii="Verdana" w:hAnsi="Verdana" w:cs="Verdana" w:eastAsia="Verdana" w:hint="default"/>
          <w:sz w:val="25"/>
          <w:szCs w:val="25"/>
        </w:rPr>
      </w:pPr>
    </w:p>
    <w:p>
      <w:pPr>
        <w:spacing w:line="240" w:lineRule="auto" w:before="0"/>
        <w:ind w:left="3139" w:right="139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Processual civil. Responsabilidade civil. Código do Consumidor. </w:t>
      </w:r>
      <w:r>
        <w:rPr>
          <w:rFonts w:ascii="Times New Roman" w:hAnsi="Times New Roman"/>
          <w:b/>
          <w:sz w:val="24"/>
        </w:rPr>
        <w:t>Ônus da prova. </w:t>
      </w:r>
      <w:r>
        <w:rPr>
          <w:rFonts w:ascii="Times New Roman" w:hAnsi="Times New Roman"/>
          <w:sz w:val="24"/>
        </w:rPr>
        <w:t>Inexistência de provas dos fatos alegados </w:t>
      </w:r>
      <w:r>
        <w:rPr>
          <w:rFonts w:ascii="Times New Roman" w:hAnsi="Times New Roman"/>
          <w:spacing w:val="-3"/>
          <w:sz w:val="24"/>
        </w:rPr>
        <w:t>na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pacing w:val="54"/>
          <w:sz w:val="24"/>
        </w:rPr>
      </w:r>
      <w:r>
        <w:rPr>
          <w:rFonts w:ascii="Times New Roman" w:hAnsi="Times New Roman"/>
          <w:sz w:val="24"/>
        </w:rPr>
        <w:t>petição inicial. Decisões anteriores fundadas nas  provas </w:t>
      </w:r>
      <w:r>
        <w:rPr>
          <w:rFonts w:ascii="Times New Roman" w:hAnsi="Times New Roman"/>
          <w:sz w:val="24"/>
        </w:rPr>
        <w:t>acostadas aos autos. Impossibilidade de reexame. Súmula 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7/STJ.</w:t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25"/>
          <w:szCs w:val="25"/>
        </w:rPr>
      </w:pPr>
      <w:r>
        <w:rPr/>
        <w:pict>
          <v:group style="position:absolute;margin-left:99.120003pt;margin-top:15.884297pt;width:144pt;height:.1pt;mso-position-horizontal-relative:page;mso-position-vertical-relative:paragraph;z-index:1192;mso-wrap-distance-left:0;mso-wrap-distance-right:0" coordorigin="1982,318" coordsize="2880,2">
            <v:shape style="position:absolute;left:1982;top:318;width:2880;height:2" coordorigin="1982,318" coordsize="2880,0" path="m1982,318l4862,318e" filled="false" stroked="true" strokeweight=".48pt" strokecolor="#000000">
              <v:path arrowok="t"/>
            </v:shape>
            <w10:wrap type="topAndBottom"/>
          </v:group>
        </w:pict>
      </w:r>
    </w:p>
    <w:p>
      <w:pPr>
        <w:spacing w:before="33"/>
        <w:ind w:left="302" w:right="1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3 </w:t>
      </w:r>
      <w:r>
        <w:rPr>
          <w:rFonts w:ascii="Times New Roman" w:hAnsi="Times New Roman"/>
          <w:sz w:val="20"/>
        </w:rPr>
        <w:t>THEODORO JÚNIOR, Humberto. Curso de Direito Processual Civil. Rio de Janeiro: Forense, 1995, 2v., </w:t>
      </w:r>
      <w:r>
        <w:rPr>
          <w:rFonts w:ascii="Times New Roman" w:hAnsi="Times New Roman"/>
          <w:spacing w:val="-3"/>
          <w:sz w:val="20"/>
        </w:rPr>
        <w:t>p.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417.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20"/>
          <w:pgMar w:header="0" w:footer="1420" w:top="1380" w:bottom="1600" w:left="1680" w:right="620"/>
        </w:sectPr>
      </w:pPr>
    </w:p>
    <w:p>
      <w:pPr>
        <w:spacing w:line="274" w:lineRule="exact" w:before="58"/>
        <w:ind w:left="3139" w:right="144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Não comprovação dos alegados danos materiais e morais sofridos.</w:t>
      </w:r>
    </w:p>
    <w:p>
      <w:pPr>
        <w:pStyle w:val="ListParagraph"/>
        <w:numPr>
          <w:ilvl w:val="0"/>
          <w:numId w:val="2"/>
        </w:numPr>
        <w:tabs>
          <w:tab w:pos="3332" w:val="left" w:leader="none"/>
        </w:tabs>
        <w:spacing w:line="274" w:lineRule="exact" w:before="9" w:after="0"/>
        <w:ind w:left="3139" w:right="142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b/>
          <w:sz w:val="24"/>
        </w:rPr>
        <w:t>Ao autor, incumbe a prova dos atos constitutivos de seu direito.</w:t>
      </w:r>
      <w:r>
        <w:rPr>
          <w:rFonts w:ascii="Times New Roman"/>
          <w:sz w:val="24"/>
        </w:rPr>
      </w:r>
    </w:p>
    <w:p>
      <w:pPr>
        <w:pStyle w:val="ListParagraph"/>
        <w:numPr>
          <w:ilvl w:val="0"/>
          <w:numId w:val="2"/>
        </w:numPr>
        <w:tabs>
          <w:tab w:pos="3284" w:val="left" w:leader="none"/>
        </w:tabs>
        <w:spacing w:line="240" w:lineRule="auto" w:before="0" w:after="0"/>
        <w:ind w:left="3139" w:right="141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Em que pese a indiscutível aplicação da inversão do ônus da prova ao CDC, tal instituto não possui aplicação absoluta. A inversão deve ser aplicada “quando, a critério do juiz, for verossímil a alegação ou quando for ele hipossuficiente, segundo as regras ordinárias de</w:t>
      </w:r>
      <w:r>
        <w:rPr>
          <w:rFonts w:ascii="Times New Roman" w:hAnsi="Times New Roman" w:cs="Times New Roman" w:eastAsia="Times New Roman" w:hint="default"/>
          <w:b/>
          <w:bCs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  <w:t>experiências”.</w:t>
      </w:r>
      <w:r>
        <w:rPr>
          <w:rFonts w:ascii="Times New Roman" w:hAnsi="Times New Roman" w:cs="Times New Roman" w:eastAsia="Times New Roman" w:hint="default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pos="3327" w:val="left" w:leader="none"/>
        </w:tabs>
        <w:spacing w:line="240" w:lineRule="auto" w:before="0" w:after="0"/>
        <w:ind w:left="3139" w:right="143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Entenderam as instâncias ordinárias, após análise das provas dos autos, que o recorrente não comprovou as falhas </w:t>
      </w:r>
      <w:r>
        <w:rPr>
          <w:rFonts w:ascii="Times New Roman" w:hAnsi="Times New Roman"/>
          <w:spacing w:val="-3"/>
          <w:sz w:val="24"/>
        </w:rPr>
        <w:t>na </w:t>
      </w:r>
      <w:r>
        <w:rPr>
          <w:rFonts w:ascii="Times New Roman" w:hAnsi="Times New Roman"/>
          <w:sz w:val="24"/>
        </w:rPr>
        <w:t>prestação </w:t>
      </w:r>
      <w:r>
        <w:rPr>
          <w:rFonts w:ascii="Times New Roman" w:hAnsi="Times New Roman"/>
          <w:sz w:val="24"/>
        </w:rPr>
        <w:t>dos serviços contratados. Necessidade de revolvimento de todo o conjunto fático-probatório. Óbice da Súmula 7 do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z w:val="24"/>
        </w:rPr>
        <w:t>STJ.</w:t>
      </w:r>
    </w:p>
    <w:p>
      <w:pPr>
        <w:pStyle w:val="ListParagraph"/>
        <w:numPr>
          <w:ilvl w:val="0"/>
          <w:numId w:val="3"/>
        </w:numPr>
        <w:tabs>
          <w:tab w:pos="3298" w:val="left" w:leader="none"/>
        </w:tabs>
        <w:spacing w:line="240" w:lineRule="auto" w:before="0" w:after="0"/>
        <w:ind w:left="3139" w:right="135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O recorrente não provou a ocorrência de vícios </w:t>
      </w:r>
      <w:r>
        <w:rPr>
          <w:rFonts w:ascii="Times New Roman" w:hAnsi="Times New Roman"/>
          <w:spacing w:val="-3"/>
          <w:sz w:val="24"/>
        </w:rPr>
        <w:t>no </w:t>
      </w:r>
      <w:r>
        <w:rPr>
          <w:rFonts w:ascii="Times New Roman" w:hAnsi="Times New Roman"/>
          <w:sz w:val="24"/>
        </w:rPr>
        <w:t>serviço que </w:t>
      </w:r>
      <w:r>
        <w:rPr>
          <w:rFonts w:ascii="Times New Roman" w:hAnsi="Times New Roman"/>
          <w:sz w:val="24"/>
        </w:rPr>
        <w:t>pudessem lhe conferir direito a </w:t>
      </w:r>
      <w:r>
        <w:rPr>
          <w:rFonts w:ascii="Times New Roman" w:hAnsi="Times New Roman"/>
          <w:spacing w:val="-4"/>
          <w:sz w:val="24"/>
        </w:rPr>
        <w:t>uma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indenização por danos </w:t>
      </w:r>
      <w:r>
        <w:rPr>
          <w:rFonts w:ascii="Times New Roman" w:hAnsi="Times New Roman"/>
          <w:sz w:val="24"/>
        </w:rPr>
        <w:t>materiais ou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morais.</w:t>
      </w:r>
    </w:p>
    <w:p>
      <w:pPr>
        <w:spacing w:line="275" w:lineRule="exact" w:before="2"/>
        <w:ind w:left="3139" w:right="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Recurso especial não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conhecido.</w:t>
      </w:r>
    </w:p>
    <w:p>
      <w:pPr>
        <w:spacing w:line="274" w:lineRule="exact" w:before="3"/>
        <w:ind w:left="3139" w:right="145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z w:val="24"/>
        </w:rPr>
        <w:t>(REsp 741393/PR. Relatora Ministra Nancy Andrighi. Terceira Turma. 05/08/2008. DJe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22/08/2008.</w:t>
      </w:r>
    </w:p>
    <w:p>
      <w:pPr>
        <w:spacing w:line="276" w:lineRule="exact" w:before="0"/>
        <w:ind w:left="3139" w:right="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/>
          <w:spacing w:val="-2"/>
          <w:sz w:val="24"/>
        </w:rPr>
        <w:t>(Grifo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nosso)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31"/>
          <w:szCs w:val="31"/>
        </w:rPr>
      </w:pPr>
    </w:p>
    <w:p>
      <w:pPr>
        <w:pStyle w:val="BodyText"/>
        <w:spacing w:line="240" w:lineRule="auto"/>
        <w:ind w:right="216"/>
        <w:jc w:val="both"/>
      </w:pPr>
      <w:r>
        <w:rPr/>
        <w:t>O CPC coloca a prova como sendo o instrumento de obtenção </w:t>
      </w:r>
      <w:r>
        <w:rPr>
          <w:spacing w:val="3"/>
        </w:rPr>
        <w:t>da </w:t>
      </w:r>
      <w:r>
        <w:rPr>
          <w:spacing w:val="3"/>
        </w:rPr>
      </w:r>
      <w:r>
        <w:rPr/>
        <w:t>verdade dos fatos, qual seja, o instrumento em que se funda a ação </w:t>
      </w:r>
      <w:r>
        <w:rPr/>
        <w:t>ou a</w:t>
      </w:r>
      <w:r>
        <w:rPr>
          <w:spacing w:val="-8"/>
        </w:rPr>
        <w:t> </w:t>
      </w:r>
      <w:r>
        <w:rPr/>
        <w:t>defesa.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216"/>
        <w:jc w:val="both"/>
      </w:pPr>
      <w:r>
        <w:rPr/>
        <w:t>Assim, imperioso destacar que no caso dos autos caberia exclusivamente à parte autora fazer prova do seu direito, o que não foi</w:t>
      </w:r>
      <w:r>
        <w:rPr>
          <w:spacing w:val="-5"/>
        </w:rPr>
        <w:t> </w:t>
      </w:r>
      <w:r>
        <w:rPr/>
        <w:t>feito.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right="214"/>
        <w:jc w:val="both"/>
      </w:pPr>
      <w:r>
        <w:rPr/>
        <w:t>Destaque-se que, em momento algum logrou êxito a parte autora em trazer aos autos, elementos que configurassem a alegada conduta danosa praticada pela empresa ré, não se desincumbindo assim, do ônus probatório previsto no artigo 333, inciso I do Código Processual</w:t>
      </w:r>
      <w:r>
        <w:rPr>
          <w:spacing w:val="-11"/>
        </w:rPr>
        <w:t> </w:t>
      </w:r>
      <w:r>
        <w:rPr/>
        <w:t>pátrio.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Heading1"/>
        <w:spacing w:line="240" w:lineRule="auto"/>
        <w:ind w:right="213"/>
        <w:jc w:val="both"/>
        <w:rPr>
          <w:b w:val="0"/>
          <w:bCs w:val="0"/>
        </w:rPr>
      </w:pPr>
      <w:r>
        <w:rPr/>
        <w:t>Sendo assim, recaindo alguma dúvida sobre o fato constitutivo do direito alegado pelo autor, certamente que este não se desincumbiu do ônus de fazer a prova que lhe incumbia.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both"/>
      </w:pPr>
      <w:r>
        <w:rPr/>
        <w:t>E, como leciona a mais abalizada</w:t>
      </w:r>
      <w:r>
        <w:rPr>
          <w:spacing w:val="-29"/>
        </w:rPr>
        <w:t> </w:t>
      </w:r>
      <w:r>
        <w:rPr/>
        <w:t>doutrina:</w:t>
      </w:r>
    </w:p>
    <w:p>
      <w:pPr>
        <w:spacing w:after="0" w:line="240" w:lineRule="auto"/>
        <w:jc w:val="both"/>
        <w:sectPr>
          <w:pgSz w:w="11900" w:h="16820"/>
          <w:pgMar w:header="0" w:footer="1420" w:top="1360" w:bottom="1600" w:left="1680" w:right="620"/>
        </w:sectPr>
      </w:pPr>
    </w:p>
    <w:p>
      <w:pPr>
        <w:spacing w:line="240" w:lineRule="auto" w:before="53"/>
        <w:ind w:left="3139" w:right="139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O ônus da prova recai sobre aquele a quem aproveita o reconhecimento do ato. </w:t>
      </w:r>
      <w:r>
        <w:rPr>
          <w:rFonts w:ascii="Times New Roman" w:hAnsi="Times New Roman"/>
          <w:spacing w:val="-3"/>
          <w:sz w:val="24"/>
        </w:rPr>
        <w:t>Assim, </w:t>
      </w:r>
      <w:r>
        <w:rPr>
          <w:rFonts w:ascii="Times New Roman" w:hAnsi="Times New Roman"/>
          <w:sz w:val="24"/>
        </w:rPr>
        <w:t>segundo o disposto </w:t>
      </w:r>
      <w:r>
        <w:rPr>
          <w:rFonts w:ascii="Times New Roman" w:hAnsi="Times New Roman"/>
          <w:spacing w:val="-3"/>
          <w:sz w:val="24"/>
        </w:rPr>
        <w:t>no </w:t>
      </w:r>
      <w:r>
        <w:rPr>
          <w:rFonts w:ascii="Times New Roman" w:hAnsi="Times New Roman"/>
          <w:sz w:val="24"/>
        </w:rPr>
        <w:t>art. 333 do </w:t>
      </w:r>
      <w:r>
        <w:rPr>
          <w:rFonts w:ascii="Times New Roman" w:hAnsi="Times New Roman"/>
          <w:sz w:val="24"/>
        </w:rPr>
        <w:t>Código de Processo Civil, o ônus da prova incumbe ao autor, quanto </w:t>
      </w:r>
      <w:r>
        <w:rPr>
          <w:rFonts w:ascii="Times New Roman" w:hAnsi="Times New Roman"/>
          <w:spacing w:val="-3"/>
          <w:sz w:val="24"/>
        </w:rPr>
        <w:t>ao </w:t>
      </w:r>
      <w:r>
        <w:rPr>
          <w:rFonts w:ascii="Times New Roman" w:hAnsi="Times New Roman"/>
          <w:sz w:val="24"/>
        </w:rPr>
        <w:t>fato constitutivo </w:t>
      </w:r>
      <w:r>
        <w:rPr>
          <w:rFonts w:ascii="Times New Roman" w:hAnsi="Times New Roman"/>
          <w:spacing w:val="-3"/>
          <w:sz w:val="24"/>
        </w:rPr>
        <w:t>do </w:t>
      </w:r>
      <w:r>
        <w:rPr>
          <w:rFonts w:ascii="Times New Roman" w:hAnsi="Times New Roman"/>
          <w:sz w:val="24"/>
        </w:rPr>
        <w:t>seu direito; ao réu, quanto à </w:t>
      </w:r>
      <w:r>
        <w:rPr>
          <w:rFonts w:ascii="Times New Roman" w:hAnsi="Times New Roman"/>
          <w:sz w:val="24"/>
        </w:rPr>
        <w:t>existência   de   fato   impeditivo,   modificativo   ou  extintivo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do</w:t>
      </w:r>
    </w:p>
    <w:p>
      <w:pPr>
        <w:spacing w:line="274" w:lineRule="exact" w:before="0"/>
        <w:ind w:left="3139" w:right="0" w:firstLine="0"/>
        <w:jc w:val="both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sz w:val="24"/>
        </w:rPr>
        <w:t>direito </w:t>
      </w:r>
      <w:r>
        <w:rPr>
          <w:rFonts w:ascii="Times New Roman"/>
          <w:spacing w:val="-3"/>
          <w:sz w:val="24"/>
        </w:rPr>
        <w:t>do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autor.</w:t>
      </w:r>
      <w:r>
        <w:rPr>
          <w:rFonts w:ascii="Times New Roman"/>
          <w:position w:val="11"/>
          <w:sz w:val="16"/>
        </w:rPr>
        <w:t>4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pStyle w:val="BodyText"/>
        <w:spacing w:line="240" w:lineRule="auto"/>
        <w:ind w:right="218"/>
        <w:jc w:val="both"/>
      </w:pPr>
      <w:r>
        <w:rPr/>
        <w:t>Nessa seara, curial parafrasearmos o brilhante voto proferido pelo Desembargador </w:t>
      </w:r>
      <w:r>
        <w:rPr>
          <w:rFonts w:ascii="Verdana" w:hAnsi="Verdana"/>
          <w:b/>
        </w:rPr>
        <w:t>PAULO ROBERTO LESSA FRANZ</w:t>
      </w:r>
      <w:r>
        <w:rPr/>
        <w:t>, no julgamento da apelação cível nº 70026247346, do Tribunal de Justiça do Estado do Rio Grande do Sul, que, dissertando sobre o ônus da prova no processo,</w:t>
      </w:r>
      <w:r>
        <w:rPr>
          <w:spacing w:val="-12"/>
        </w:rPr>
        <w:t> </w:t>
      </w:r>
      <w:r>
        <w:rPr/>
        <w:t>aduz: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4"/>
        <w:rPr>
          <w:rFonts w:ascii="Verdana" w:hAnsi="Verdana" w:cs="Verdana" w:eastAsia="Verdana" w:hint="default"/>
          <w:sz w:val="25"/>
          <w:szCs w:val="25"/>
        </w:rPr>
      </w:pPr>
    </w:p>
    <w:p>
      <w:pPr>
        <w:spacing w:line="240" w:lineRule="auto" w:before="0"/>
        <w:ind w:left="3139" w:right="144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Destaca-se, embora aplicáveis as regras do CDC, </w:t>
      </w:r>
      <w:r>
        <w:rPr>
          <w:rFonts w:ascii="Times New Roman" w:hAnsi="Times New Roman"/>
          <w:i/>
          <w:sz w:val="24"/>
        </w:rPr>
        <w:t>in casu</w:t>
      </w:r>
      <w:r>
        <w:rPr>
          <w:rFonts w:ascii="Times New Roman" w:hAnsi="Times New Roman"/>
          <w:sz w:val="24"/>
        </w:rPr>
        <w:t>, não se verifica presente o pressuposto da verossimilhança nas alegações esposadas na inicial, elemento indispensável à inversão do ônus da prova, que não ocorre de </w:t>
      </w:r>
      <w:r>
        <w:rPr>
          <w:rFonts w:ascii="Times New Roman" w:hAnsi="Times New Roman"/>
          <w:spacing w:val="-3"/>
          <w:sz w:val="24"/>
        </w:rPr>
        <w:t>forma </w:t>
      </w:r>
      <w:r>
        <w:rPr>
          <w:rFonts w:ascii="Times New Roman" w:hAnsi="Times New Roman"/>
          <w:sz w:val="24"/>
        </w:rPr>
        <w:t>automática pela condição de </w:t>
      </w:r>
      <w:r>
        <w:rPr>
          <w:rFonts w:ascii="Times New Roman" w:hAnsi="Times New Roman"/>
          <w:sz w:val="24"/>
        </w:rPr>
        <w:t>hipossuficiência da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parte.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31"/>
          <w:szCs w:val="31"/>
        </w:rPr>
      </w:pPr>
    </w:p>
    <w:p>
      <w:pPr>
        <w:pStyle w:val="BodyText"/>
        <w:spacing w:line="240" w:lineRule="auto"/>
        <w:ind w:right="0"/>
        <w:jc w:val="both"/>
      </w:pPr>
      <w:r>
        <w:rPr/>
        <w:t>Veja-se como restou ementada tal</w:t>
      </w:r>
      <w:r>
        <w:rPr>
          <w:spacing w:val="-19"/>
        </w:rPr>
        <w:t> </w:t>
      </w:r>
      <w:r>
        <w:rPr/>
        <w:t>decisão: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2"/>
          <w:szCs w:val="22"/>
        </w:rPr>
      </w:pPr>
    </w:p>
    <w:p>
      <w:pPr>
        <w:spacing w:line="240" w:lineRule="auto" w:before="0"/>
        <w:ind w:left="3139" w:right="139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APELAÇÃO CÍVEL. INDENIZAÇÃO POR DANOS MORAIS. FATURAS DE TELEFONIA. VALORES DEVIDOS. COBRANÇA. EXERCÍCIO REGULAR DE UM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DIREITO.</w:t>
      </w:r>
    </w:p>
    <w:p>
      <w:pPr>
        <w:spacing w:line="240" w:lineRule="auto" w:before="2"/>
        <w:ind w:left="3139" w:right="139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Verificada a responsabilidade da autora pelos valores exigidos  nas faturas de telefonia, não </w:t>
      </w:r>
      <w:r>
        <w:rPr>
          <w:rFonts w:ascii="Times New Roman" w:hAnsi="Times New Roman"/>
          <w:spacing w:val="-3"/>
          <w:sz w:val="24"/>
        </w:rPr>
        <w:t>há falar </w:t>
      </w:r>
      <w:r>
        <w:rPr>
          <w:rFonts w:ascii="Times New Roman" w:hAnsi="Times New Roman"/>
          <w:sz w:val="24"/>
        </w:rPr>
        <w:t>em desconstituição do  </w:t>
      </w:r>
      <w:r>
        <w:rPr>
          <w:rFonts w:ascii="Times New Roman" w:hAnsi="Times New Roman"/>
          <w:sz w:val="24"/>
        </w:rPr>
        <w:t>débito, tampouco em obrigação de indenizar. Fato constitutivo do direito da autora não comprovado, ônus que lhe competia, </w:t>
      </w:r>
      <w:r>
        <w:rPr>
          <w:rFonts w:ascii="Times New Roman" w:hAnsi="Times New Roman"/>
          <w:spacing w:val="-3"/>
          <w:sz w:val="24"/>
        </w:rPr>
        <w:t>na </w:t>
      </w:r>
      <w:r>
        <w:rPr>
          <w:rFonts w:ascii="Times New Roman" w:hAnsi="Times New Roman"/>
          <w:spacing w:val="-3"/>
          <w:sz w:val="24"/>
        </w:rPr>
      </w:r>
      <w:r>
        <w:rPr>
          <w:rFonts w:ascii="Times New Roman" w:hAnsi="Times New Roman"/>
          <w:sz w:val="24"/>
        </w:rPr>
        <w:t>forma do art. 333, I </w:t>
      </w:r>
      <w:r>
        <w:rPr>
          <w:rFonts w:ascii="Times New Roman" w:hAnsi="Times New Roman"/>
          <w:spacing w:val="-3"/>
          <w:sz w:val="24"/>
        </w:rPr>
        <w:t>do </w:t>
      </w:r>
      <w:r>
        <w:rPr>
          <w:rFonts w:ascii="Times New Roman" w:hAnsi="Times New Roman"/>
          <w:sz w:val="24"/>
        </w:rPr>
        <w:t>CPC. Inversão do ônus da prova que não </w:t>
      </w:r>
      <w:r>
        <w:rPr>
          <w:rFonts w:ascii="Times New Roman" w:hAnsi="Times New Roman"/>
          <w:sz w:val="24"/>
        </w:rPr>
        <w:t>ocorre de forma automática pela condição de hipossuficiência da parte, tendo </w:t>
      </w:r>
      <w:r>
        <w:rPr>
          <w:rFonts w:ascii="Times New Roman" w:hAnsi="Times New Roman"/>
          <w:spacing w:val="-3"/>
          <w:sz w:val="24"/>
        </w:rPr>
        <w:t>como </w:t>
      </w:r>
      <w:r>
        <w:rPr>
          <w:rFonts w:ascii="Times New Roman" w:hAnsi="Times New Roman"/>
          <w:sz w:val="24"/>
        </w:rPr>
        <w:t>pressuposto a verossimilhança da alegação,  </w:t>
      </w:r>
      <w:r>
        <w:rPr>
          <w:rFonts w:ascii="Times New Roman" w:hAnsi="Times New Roman"/>
          <w:sz w:val="24"/>
        </w:rPr>
        <w:t>não demonstrada pela parte autora, </w:t>
      </w:r>
      <w:r>
        <w:rPr>
          <w:rFonts w:ascii="Times New Roman" w:hAnsi="Times New Roman"/>
          <w:spacing w:val="-3"/>
          <w:sz w:val="24"/>
        </w:rPr>
        <w:t>no </w:t>
      </w:r>
      <w:r>
        <w:rPr>
          <w:rFonts w:ascii="Times New Roman" w:hAnsi="Times New Roman"/>
          <w:sz w:val="24"/>
        </w:rPr>
        <w:t>caso. Sentença de </w:t>
      </w:r>
      <w:r>
        <w:rPr>
          <w:rFonts w:ascii="Times New Roman" w:hAnsi="Times New Roman"/>
          <w:sz w:val="24"/>
        </w:rPr>
        <w:t>improcedência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mantida.</w:t>
      </w:r>
    </w:p>
    <w:p>
      <w:pPr>
        <w:spacing w:line="274" w:lineRule="exact" w:before="0"/>
        <w:ind w:left="3139" w:right="0" w:firstLine="0"/>
        <w:jc w:val="both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APELAÇÃO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IMPROVIDA.</w:t>
      </w: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BodyText"/>
        <w:spacing w:line="240" w:lineRule="auto"/>
        <w:ind w:right="216"/>
        <w:jc w:val="both"/>
      </w:pPr>
      <w:r>
        <w:rPr/>
        <w:t>Assim sendo, não tendo a parte autora trazido aos autos provas </w:t>
      </w:r>
      <w:r>
        <w:rPr>
          <w:spacing w:val="3"/>
        </w:rPr>
        <w:t>de </w:t>
      </w:r>
      <w:r>
        <w:rPr>
          <w:spacing w:val="3"/>
        </w:rPr>
      </w:r>
      <w:r>
        <w:rPr/>
        <w:t>que efetivamente tenha sofrido um prejuízo em face de conduta </w:t>
      </w:r>
      <w:r>
        <w:rPr/>
        <w:t>ilícita da ré, ou, ainda, que teria agido a contestante com imprudência  ou  negligência,  não   se  desincumbiu  do  ônus    </w:t>
      </w:r>
      <w:r>
        <w:rPr>
          <w:spacing w:val="60"/>
        </w:rPr>
        <w:t> </w:t>
      </w:r>
      <w:r>
        <w:rPr>
          <w:spacing w:val="3"/>
        </w:rPr>
        <w:t>de</w:t>
      </w: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 w:hint="default"/>
          <w:sz w:val="20"/>
          <w:szCs w:val="20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11"/>
          <w:szCs w:val="11"/>
        </w:rPr>
      </w:pPr>
      <w:r>
        <w:rPr/>
        <w:pict>
          <v:group style="position:absolute;margin-left:99.120003pt;margin-top:8.003870pt;width:144pt;height:.1pt;mso-position-horizontal-relative:page;mso-position-vertical-relative:paragraph;z-index:1216;mso-wrap-distance-left:0;mso-wrap-distance-right:0" coordorigin="1982,160" coordsize="2880,2">
            <v:shape style="position:absolute;left:1982;top:160;width:2880;height:2" coordorigin="1982,160" coordsize="2880,0" path="m1982,160l4862,160e" filled="false" stroked="true" strokeweight=".48pt" strokecolor="#000000">
              <v:path arrowok="t"/>
            </v:shape>
            <w10:wrap type="topAndBottom"/>
          </v:group>
        </w:pict>
      </w:r>
    </w:p>
    <w:p>
      <w:pPr>
        <w:spacing w:before="33"/>
        <w:ind w:left="302" w:right="16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4 </w:t>
      </w:r>
      <w:r>
        <w:rPr>
          <w:rFonts w:ascii="Times New Roman" w:hAnsi="Times New Roman"/>
          <w:sz w:val="20"/>
        </w:rPr>
        <w:t>CINTRA, Antônio Carlos de Araújo; GRINOVER, Ada Pellegrini; DINAMARCO, Cândido Rangel. </w:t>
      </w:r>
      <w:r>
        <w:rPr>
          <w:rFonts w:ascii="Times New Roman" w:hAnsi="Times New Roman"/>
          <w:b/>
          <w:sz w:val="20"/>
        </w:rPr>
        <w:t>Teoria Geral do Processo. </w:t>
      </w:r>
      <w:r>
        <w:rPr>
          <w:rFonts w:ascii="Times New Roman" w:hAnsi="Times New Roman"/>
          <w:sz w:val="20"/>
        </w:rPr>
        <w:t>12ª Edição, São Paulo: Malheiros, 1996, p.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z w:val="20"/>
        </w:rPr>
        <w:t>355.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pgSz w:w="11900" w:h="16820"/>
          <w:pgMar w:header="0" w:footer="1420" w:top="1360" w:bottom="1600" w:left="1680" w:right="620"/>
        </w:sectPr>
      </w:pPr>
    </w:p>
    <w:p>
      <w:pPr>
        <w:pStyle w:val="BodyText"/>
        <w:spacing w:line="312" w:lineRule="exact" w:before="51"/>
        <w:ind w:right="209"/>
        <w:jc w:val="both"/>
      </w:pPr>
      <w:r>
        <w:rPr/>
        <w:t>comprovar suas alegações, nos termos que determina art. 333, I, do CPC.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7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O</w:t>
      </w:r>
      <w:r>
        <w:rPr>
          <w:spacing w:val="-13"/>
        </w:rPr>
        <w:t> </w:t>
      </w:r>
      <w:r>
        <w:rPr/>
        <w:t>REQUERIMENTO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 w:hint="default"/>
          <w:b/>
          <w:bCs/>
          <w:sz w:val="26"/>
          <w:szCs w:val="26"/>
        </w:rPr>
      </w:pPr>
    </w:p>
    <w:p>
      <w:pPr>
        <w:spacing w:line="240" w:lineRule="auto" w:before="10"/>
        <w:rPr>
          <w:rFonts w:ascii="Verdana" w:hAnsi="Verdana" w:cs="Verdana" w:eastAsia="Verdana" w:hint="default"/>
          <w:b/>
          <w:bCs/>
          <w:sz w:val="25"/>
          <w:szCs w:val="25"/>
        </w:rPr>
      </w:pPr>
    </w:p>
    <w:p>
      <w:pPr>
        <w:spacing w:before="0"/>
        <w:ind w:left="302" w:right="0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/>
          <w:sz w:val="26"/>
        </w:rPr>
        <w:t>Por todo o exposto,</w:t>
      </w:r>
      <w:r>
        <w:rPr>
          <w:rFonts w:ascii="Verdana"/>
          <w:spacing w:val="-13"/>
          <w:sz w:val="26"/>
        </w:rPr>
        <w:t> </w:t>
      </w:r>
      <w:r>
        <w:rPr>
          <w:rFonts w:ascii="Verdana"/>
          <w:b/>
          <w:sz w:val="26"/>
        </w:rPr>
        <w:t>REQUER</w:t>
      </w:r>
      <w:r>
        <w:rPr>
          <w:rFonts w:ascii="Verdana"/>
          <w:sz w:val="26"/>
        </w:rPr>
        <w:t>: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0" w:after="0"/>
        <w:ind w:left="302" w:right="112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Sejam acolhidas as preliminares argüidas, extinguindo o feito por ser a requerida, parte ilegítima para figurar no pólo passivo da demanda, além do Juizado Especial Cível não ser competente para o julgamento da lide, diante da necessidade de prova pericial no presente</w:t>
      </w:r>
      <w:r>
        <w:rPr>
          <w:rFonts w:ascii="Verdana" w:hAnsi="Verdana"/>
          <w:spacing w:val="-12"/>
          <w:sz w:val="26"/>
        </w:rPr>
        <w:t> </w:t>
      </w:r>
      <w:r>
        <w:rPr>
          <w:rFonts w:ascii="Verdana" w:hAnsi="Verdana"/>
          <w:sz w:val="26"/>
        </w:rPr>
        <w:t>caso;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5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37" w:lineRule="auto" w:before="0" w:after="0"/>
        <w:ind w:left="302" w:right="116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Caso ultrapassada a preliminar, o que não se acredita, requer sejam julgados </w:t>
      </w:r>
      <w:r>
        <w:rPr>
          <w:rFonts w:ascii="Verdana" w:hAnsi="Verdana"/>
          <w:b/>
          <w:sz w:val="26"/>
        </w:rPr>
        <w:t>IMPROCEDENTES </w:t>
      </w:r>
      <w:r>
        <w:rPr>
          <w:rFonts w:ascii="Verdana" w:hAnsi="Verdana"/>
          <w:sz w:val="26"/>
        </w:rPr>
        <w:t>os pedidos aduzidos na presente ação, pelos motivos</w:t>
      </w:r>
      <w:r>
        <w:rPr>
          <w:rFonts w:ascii="Verdana" w:hAnsi="Verdana"/>
          <w:spacing w:val="-19"/>
          <w:sz w:val="26"/>
        </w:rPr>
        <w:t> </w:t>
      </w:r>
      <w:r>
        <w:rPr>
          <w:rFonts w:ascii="Verdana" w:hAnsi="Verdana"/>
          <w:sz w:val="26"/>
        </w:rPr>
        <w:t>supra-expostos;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3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ListParagraph"/>
        <w:numPr>
          <w:ilvl w:val="0"/>
          <w:numId w:val="5"/>
        </w:numPr>
        <w:tabs>
          <w:tab w:pos="701" w:val="left" w:leader="none"/>
        </w:tabs>
        <w:spacing w:line="240" w:lineRule="auto" w:before="0" w:after="0"/>
        <w:ind w:left="302" w:right="138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seja facultada a produção de todos os meios de prova admitidos, especialmente a prova testemunhal, com o depoimento pessoal do autor, a prova documental, mediante juntada de documentos no curso da instrução do</w:t>
      </w:r>
      <w:r>
        <w:rPr>
          <w:rFonts w:ascii="Verdana" w:hAnsi="Verdana"/>
          <w:spacing w:val="-16"/>
          <w:sz w:val="26"/>
        </w:rPr>
        <w:t> </w:t>
      </w:r>
      <w:r>
        <w:rPr>
          <w:rFonts w:ascii="Verdana" w:hAnsi="Verdana"/>
          <w:sz w:val="26"/>
        </w:rPr>
        <w:t>feito;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ListParagraph"/>
        <w:numPr>
          <w:ilvl w:val="0"/>
          <w:numId w:val="5"/>
        </w:numPr>
        <w:tabs>
          <w:tab w:pos="720" w:val="left" w:leader="none"/>
        </w:tabs>
        <w:spacing w:line="240" w:lineRule="auto" w:before="0" w:after="0"/>
        <w:ind w:left="302" w:right="148" w:firstLine="0"/>
        <w:jc w:val="both"/>
        <w:rPr>
          <w:rFonts w:ascii="Verdana" w:hAnsi="Verdana" w:cs="Verdana" w:eastAsia="Verdana" w:hint="default"/>
          <w:sz w:val="26"/>
          <w:szCs w:val="26"/>
        </w:rPr>
      </w:pPr>
      <w:r>
        <w:rPr>
          <w:rFonts w:ascii="Verdana" w:hAnsi="Verdana"/>
          <w:sz w:val="26"/>
        </w:rPr>
        <w:t>sejam todas as intimações dos atos processuais efetuadas em nome do advogado </w:t>
      </w:r>
      <w:r>
        <w:rPr>
          <w:rFonts w:ascii="Verdana" w:hAnsi="Verdana"/>
          <w:b/>
          <w:sz w:val="26"/>
        </w:rPr>
        <w:t>JÚLIO CESAR GOULART LANES (OAB/PR 43.861) </w:t>
      </w:r>
      <w:r>
        <w:rPr>
          <w:rFonts w:ascii="Verdana" w:hAnsi="Verdana"/>
          <w:sz w:val="26"/>
        </w:rPr>
        <w:t>no endereço Av. Loureiro da Silva, 2001, 10º andar, conjs. 1003 e 1004, CEP 90.050-240, tel. 32273455, fax: 32273833, sob pena de</w:t>
      </w:r>
      <w:r>
        <w:rPr>
          <w:rFonts w:ascii="Verdana" w:hAnsi="Verdana"/>
          <w:spacing w:val="-15"/>
          <w:sz w:val="26"/>
        </w:rPr>
        <w:t> </w:t>
      </w:r>
      <w:r>
        <w:rPr>
          <w:rFonts w:ascii="Verdana" w:hAnsi="Verdana"/>
          <w:sz w:val="26"/>
        </w:rPr>
        <w:t>nulidade.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2"/>
        <w:rPr>
          <w:rFonts w:ascii="Verdana" w:hAnsi="Verdana" w:cs="Verdana" w:eastAsia="Verdana" w:hint="default"/>
          <w:sz w:val="26"/>
          <w:szCs w:val="26"/>
        </w:rPr>
      </w:pPr>
    </w:p>
    <w:p>
      <w:pPr>
        <w:pStyle w:val="BodyText"/>
        <w:spacing w:line="240" w:lineRule="auto"/>
        <w:ind w:left="1435" w:right="16"/>
        <w:jc w:val="left"/>
      </w:pPr>
      <w:r>
        <w:rPr/>
        <w:t>Pede</w:t>
      </w:r>
      <w:r>
        <w:rPr>
          <w:spacing w:val="-9"/>
        </w:rPr>
        <w:t> </w:t>
      </w:r>
      <w:r>
        <w:rPr/>
        <w:t>deferimento.</w:t>
      </w:r>
    </w:p>
    <w:p>
      <w:pPr>
        <w:spacing w:line="240" w:lineRule="auto" w:before="9"/>
        <w:rPr>
          <w:rFonts w:ascii="Verdana" w:hAnsi="Verdana" w:cs="Verdana" w:eastAsia="Verdana" w:hint="default"/>
          <w:sz w:val="25"/>
          <w:szCs w:val="25"/>
        </w:rPr>
      </w:pPr>
    </w:p>
    <w:p>
      <w:pPr>
        <w:pStyle w:val="BodyText"/>
        <w:spacing w:line="240" w:lineRule="auto"/>
        <w:ind w:left="1435" w:right="16"/>
        <w:jc w:val="left"/>
      </w:pPr>
      <w:r>
        <w:rPr/>
        <w:t>Curitiba, 20 de maio de</w:t>
      </w:r>
      <w:r>
        <w:rPr>
          <w:spacing w:val="-21"/>
        </w:rPr>
        <w:t> </w:t>
      </w:r>
      <w:r>
        <w:rPr/>
        <w:t>2011.</w:t>
      </w: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0"/>
        <w:rPr>
          <w:rFonts w:ascii="Verdana" w:hAnsi="Verdana" w:cs="Verdana" w:eastAsia="Verdana" w:hint="default"/>
          <w:sz w:val="26"/>
          <w:szCs w:val="26"/>
        </w:rPr>
      </w:pPr>
    </w:p>
    <w:p>
      <w:pPr>
        <w:spacing w:line="240" w:lineRule="auto" w:before="3"/>
        <w:rPr>
          <w:rFonts w:ascii="Verdana" w:hAnsi="Verdana" w:cs="Verdana" w:eastAsia="Verdana" w:hint="default"/>
          <w:sz w:val="26"/>
          <w:szCs w:val="26"/>
        </w:rPr>
      </w:pPr>
    </w:p>
    <w:p>
      <w:pPr>
        <w:spacing w:before="0"/>
        <w:ind w:left="3465" w:right="3280" w:firstLine="0"/>
        <w:jc w:val="center"/>
        <w:rPr>
          <w:rFonts w:ascii="Times New Roman" w:hAnsi="Times New Roman" w:cs="Times New Roman" w:eastAsia="Times New Roman" w:hint="default"/>
          <w:sz w:val="26"/>
          <w:szCs w:val="26"/>
        </w:rPr>
      </w:pPr>
      <w:r>
        <w:rPr>
          <w:rFonts w:ascii="Times New Roman" w:hAnsi="Times New Roman"/>
          <w:b/>
          <w:i/>
          <w:sz w:val="26"/>
        </w:rPr>
        <w:t>Júlio Cesar Goulart</w:t>
      </w:r>
      <w:r>
        <w:rPr>
          <w:rFonts w:ascii="Times New Roman" w:hAnsi="Times New Roman"/>
          <w:b/>
          <w:i/>
          <w:spacing w:val="-3"/>
          <w:sz w:val="26"/>
        </w:rPr>
        <w:t> </w:t>
      </w:r>
      <w:r>
        <w:rPr>
          <w:rFonts w:ascii="Times New Roman" w:hAnsi="Times New Roman"/>
          <w:b/>
          <w:i/>
          <w:sz w:val="26"/>
        </w:rPr>
        <w:t>Lanes </w:t>
      </w:r>
      <w:r>
        <w:rPr>
          <w:rFonts w:ascii="Times New Roman" w:hAnsi="Times New Roman"/>
          <w:b/>
          <w:i/>
          <w:sz w:val="26"/>
        </w:rPr>
        <w:t>OAB/PR</w:t>
      </w:r>
      <w:r>
        <w:rPr>
          <w:rFonts w:ascii="Times New Roman" w:hAnsi="Times New Roman"/>
          <w:b/>
          <w:i/>
          <w:spacing w:val="-2"/>
          <w:sz w:val="26"/>
        </w:rPr>
        <w:t> </w:t>
      </w:r>
      <w:r>
        <w:rPr>
          <w:rFonts w:ascii="Times New Roman" w:hAnsi="Times New Roman"/>
          <w:b/>
          <w:i/>
          <w:sz w:val="26"/>
        </w:rPr>
        <w:t>43.861</w:t>
      </w:r>
      <w:r>
        <w:rPr>
          <w:rFonts w:ascii="Times New Roman" w:hAnsi="Times New Roman"/>
          <w:sz w:val="26"/>
        </w:rPr>
      </w:r>
    </w:p>
    <w:sectPr>
      <w:pgSz w:w="11900" w:h="16820"/>
      <w:pgMar w:header="0" w:footer="1420" w:top="1380" w:bottom="1600" w:left="16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9"/>
        <w:szCs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919983pt;margin-top:758.448914pt;width:14.1pt;height:12.1pt;mso-position-horizontal-relative:page;mso-position-vertical-relative:page;z-index:-1069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20"/>
                    <w:szCs w:val="20"/>
                  </w:rPr>
                </w:pPr>
                <w:r>
                  <w:rPr>
                    <w:rFonts w:ascii="Times New Roman"/>
                    <w:w w:val="10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lowerLetter"/>
      <w:lvlText w:val="%1)"/>
      <w:lvlJc w:val="left"/>
      <w:pPr>
        <w:ind w:left="302" w:hanging="399"/>
        <w:jc w:val="left"/>
      </w:pPr>
      <w:rPr>
        <w:rFonts w:hint="default" w:ascii="Verdana" w:hAnsi="Verdana" w:eastAsia="Verdana"/>
        <w:spacing w:val="0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230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0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399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02" w:hanging="567"/>
        <w:jc w:val="left"/>
      </w:pPr>
      <w:rPr>
        <w:rFonts w:hint="default" w:ascii="Verdana" w:hAnsi="Verdana" w:eastAsia="Verdana"/>
        <w:spacing w:val="-3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23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3139" w:hanging="188"/>
      </w:pPr>
      <w:rPr>
        <w:rFonts w:hint="default" w:ascii="Times New Roman" w:hAnsi="Times New Roman" w:eastAsia="Times New Roman"/>
        <w:spacing w:val="-24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3786" w:hanging="1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2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8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4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0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6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18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3139" w:hanging="192"/>
      </w:pPr>
      <w:rPr>
        <w:rFonts w:hint="default" w:ascii="Times New Roman" w:hAnsi="Times New Roman" w:eastAsia="Times New Roman"/>
        <w:b/>
        <w:bCs/>
        <w:spacing w:val="-1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3786" w:hanging="1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432" w:hanging="1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8" w:hanging="1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4" w:hanging="1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0" w:hanging="1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6" w:hanging="1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1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192"/>
      </w:pPr>
      <w:rPr>
        <w:rFonts w:hint="default"/>
      </w:rPr>
    </w:lvl>
  </w:abstractNum>
  <w:abstractNum w:abstractNumId="0">
    <w:multiLevelType w:val="hybridMultilevel"/>
    <w:lvl w:ilvl="0">
      <w:start w:val="10"/>
      <w:numFmt w:val="decimal"/>
      <w:lvlText w:val="%1"/>
      <w:lvlJc w:val="left"/>
      <w:pPr>
        <w:ind w:left="3139" w:hanging="48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139" w:hanging="485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4432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4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0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6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485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2"/>
    </w:pPr>
    <w:rPr>
      <w:rFonts w:ascii="Verdana" w:hAnsi="Verdana" w:eastAsia="Verdana"/>
      <w:sz w:val="26"/>
      <w:szCs w:val="26"/>
    </w:rPr>
  </w:style>
  <w:style w:styleId="Heading1" w:type="paragraph">
    <w:name w:val="Heading 1"/>
    <w:basedOn w:val="Normal"/>
    <w:uiPriority w:val="1"/>
    <w:qFormat/>
    <w:pPr>
      <w:ind w:left="302"/>
      <w:outlineLvl w:val="1"/>
    </w:pPr>
    <w:rPr>
      <w:rFonts w:ascii="Verdana" w:hAnsi="Verdana" w:eastAsia="Verdana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Contestação G - Alex de Carvalho Alves - defeito no aparelho - preliminar de ilegitimidade e Incompetência de JEC.doc</dc:title>
  <dcterms:created xsi:type="dcterms:W3CDTF">2015-11-12T18:17:03Z</dcterms:created>
  <dcterms:modified xsi:type="dcterms:W3CDTF">2015-11-12T18:17:03Z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2011-05-25T00:00:00Z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2015-11-12T00:00:00Z</vt:filetime>
  </property>
</Properties>
</file>