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5E" w:rsidRPr="002F4F5E" w:rsidRDefault="002F4F5E" w:rsidP="002F4F5E">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F4F5E">
        <w:rPr>
          <w:rFonts w:ascii="Times New Roman" w:eastAsia="Times New Roman" w:hAnsi="Times New Roman" w:cs="Times New Roman"/>
          <w:b/>
          <w:bCs/>
          <w:kern w:val="36"/>
          <w:sz w:val="48"/>
          <w:szCs w:val="48"/>
          <w:lang w:eastAsia="pt-BR"/>
        </w:rPr>
        <w:t xml:space="preserve">Da ação de alteração de regime de bens no Novo CPC (segunda parte) </w:t>
      </w:r>
    </w:p>
    <w:p w:rsidR="002F4F5E" w:rsidRPr="002F4F5E" w:rsidRDefault="002F4F5E" w:rsidP="002F4F5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2F4F5E">
        <w:rPr>
          <w:rFonts w:ascii="Times New Roman" w:eastAsia="Times New Roman" w:hAnsi="Times New Roman" w:cs="Times New Roman"/>
          <w:b/>
          <w:bCs/>
          <w:sz w:val="36"/>
          <w:szCs w:val="36"/>
          <w:lang w:eastAsia="pt-BR"/>
        </w:rPr>
        <w:t xml:space="preserve">Coluna no Migalhas. </w:t>
      </w:r>
    </w:p>
    <w:p w:rsidR="002F4F5E" w:rsidRPr="002F4F5E" w:rsidRDefault="002F4F5E" w:rsidP="002F4F5E">
      <w:pPr>
        <w:spacing w:after="0" w:line="240" w:lineRule="auto"/>
        <w:rPr>
          <w:rFonts w:ascii="Times New Roman" w:eastAsia="Times New Roman" w:hAnsi="Times New Roman" w:cs="Times New Roman"/>
          <w:sz w:val="24"/>
          <w:szCs w:val="24"/>
          <w:lang w:eastAsia="pt-BR"/>
        </w:rPr>
      </w:pPr>
      <w:hyperlink r:id="rId4" w:history="1">
        <w:r w:rsidRPr="002F4F5E">
          <w:rPr>
            <w:rFonts w:ascii="Times New Roman" w:eastAsia="Times New Roman" w:hAnsi="Times New Roman" w:cs="Times New Roman"/>
            <w:color w:val="0000FF"/>
            <w:sz w:val="24"/>
            <w:szCs w:val="24"/>
            <w:u w:val="single"/>
            <w:lang w:eastAsia="pt-BR"/>
          </w:rPr>
          <w:t>Salvar</w:t>
        </w:r>
      </w:hyperlink>
      <w:r w:rsidRPr="002F4F5E">
        <w:rPr>
          <w:rFonts w:ascii="Times New Roman" w:eastAsia="Times New Roman" w:hAnsi="Times New Roman" w:cs="Times New Roman"/>
          <w:sz w:val="24"/>
          <w:szCs w:val="24"/>
          <w:lang w:eastAsia="pt-BR"/>
        </w:rPr>
        <w:t xml:space="preserve"> • </w:t>
      </w:r>
      <w:hyperlink r:id="rId5" w:anchor="comments" w:history="1">
        <w:r w:rsidRPr="002F4F5E">
          <w:rPr>
            <w:rFonts w:ascii="Times New Roman" w:eastAsia="Times New Roman" w:hAnsi="Times New Roman" w:cs="Times New Roman"/>
            <w:color w:val="0000FF"/>
            <w:sz w:val="24"/>
            <w:szCs w:val="24"/>
            <w:u w:val="single"/>
            <w:lang w:eastAsia="pt-BR"/>
          </w:rPr>
          <w:t>3 comentários</w:t>
        </w:r>
      </w:hyperlink>
      <w:r w:rsidRPr="002F4F5E">
        <w:rPr>
          <w:rFonts w:ascii="Times New Roman" w:eastAsia="Times New Roman" w:hAnsi="Times New Roman" w:cs="Times New Roman"/>
          <w:sz w:val="24"/>
          <w:szCs w:val="24"/>
          <w:lang w:eastAsia="pt-BR"/>
        </w:rPr>
        <w:t xml:space="preserve"> • </w:t>
      </w:r>
      <w:hyperlink r:id="rId6" w:history="1">
        <w:r w:rsidRPr="002F4F5E">
          <w:rPr>
            <w:rFonts w:ascii="Times New Roman" w:eastAsia="Times New Roman" w:hAnsi="Times New Roman" w:cs="Times New Roman"/>
            <w:color w:val="0000FF"/>
            <w:sz w:val="24"/>
            <w:szCs w:val="24"/>
            <w:u w:val="single"/>
            <w:lang w:eastAsia="pt-BR"/>
          </w:rPr>
          <w:t>Imprimir</w:t>
        </w:r>
      </w:hyperlink>
      <w:r w:rsidRPr="002F4F5E">
        <w:rPr>
          <w:rFonts w:ascii="Times New Roman" w:eastAsia="Times New Roman" w:hAnsi="Times New Roman" w:cs="Times New Roman"/>
          <w:sz w:val="24"/>
          <w:szCs w:val="24"/>
          <w:lang w:eastAsia="pt-BR"/>
        </w:rPr>
        <w:t xml:space="preserve"> • </w:t>
      </w:r>
      <w:hyperlink r:id="rId7" w:history="1">
        <w:r w:rsidRPr="002F4F5E">
          <w:rPr>
            <w:rFonts w:ascii="Times New Roman" w:eastAsia="Times New Roman" w:hAnsi="Times New Roman" w:cs="Times New Roman"/>
            <w:color w:val="0000FF"/>
            <w:sz w:val="24"/>
            <w:szCs w:val="24"/>
            <w:u w:val="single"/>
            <w:lang w:eastAsia="pt-BR"/>
          </w:rPr>
          <w:t>Reportar</w:t>
        </w:r>
      </w:hyperlink>
      <w:r w:rsidRPr="002F4F5E">
        <w:rPr>
          <w:rFonts w:ascii="Times New Roman" w:eastAsia="Times New Roman" w:hAnsi="Times New Roman" w:cs="Times New Roman"/>
          <w:sz w:val="24"/>
          <w:szCs w:val="24"/>
          <w:lang w:eastAsia="pt-BR"/>
        </w:rPr>
        <w:t xml:space="preserve"> </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Publicado por </w:t>
      </w:r>
      <w:hyperlink r:id="rId8" w:history="1">
        <w:r w:rsidRPr="002F4F5E">
          <w:rPr>
            <w:rFonts w:ascii="Times New Roman" w:eastAsia="Times New Roman" w:hAnsi="Times New Roman" w:cs="Times New Roman"/>
            <w:color w:val="0000FF"/>
            <w:sz w:val="24"/>
            <w:szCs w:val="24"/>
            <w:u w:val="single"/>
            <w:lang w:eastAsia="pt-BR"/>
          </w:rPr>
          <w:t>Flávio Tartuce</w:t>
        </w:r>
      </w:hyperlink>
      <w:r w:rsidRPr="002F4F5E">
        <w:rPr>
          <w:rFonts w:ascii="Times New Roman" w:eastAsia="Times New Roman" w:hAnsi="Times New Roman" w:cs="Times New Roman"/>
          <w:sz w:val="24"/>
          <w:szCs w:val="24"/>
          <w:lang w:eastAsia="pt-BR"/>
        </w:rPr>
        <w:t xml:space="preserve"> - 1 dia atrás </w:t>
      </w:r>
    </w:p>
    <w:p w:rsidR="002F4F5E" w:rsidRPr="002F4F5E" w:rsidRDefault="002F4F5E" w:rsidP="002F4F5E">
      <w:pPr>
        <w:spacing w:after="0"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20 </w:t>
      </w:r>
    </w:p>
    <w:p w:rsidR="002F4F5E" w:rsidRPr="002F4F5E" w:rsidRDefault="002F4F5E" w:rsidP="002F4F5E">
      <w:pPr>
        <w:spacing w:beforeAutospacing="1" w:after="100" w:afterAutospacing="1" w:line="240" w:lineRule="auto"/>
        <w:outlineLvl w:val="2"/>
        <w:rPr>
          <w:rFonts w:ascii="Times New Roman" w:eastAsia="Times New Roman" w:hAnsi="Times New Roman" w:cs="Times New Roman"/>
          <w:b/>
          <w:bCs/>
          <w:sz w:val="27"/>
          <w:szCs w:val="27"/>
          <w:lang w:eastAsia="pt-BR"/>
        </w:rPr>
      </w:pPr>
      <w:hyperlink r:id="rId9" w:tgtFrame="_blank" w:history="1">
        <w:r w:rsidRPr="002F4F5E">
          <w:rPr>
            <w:rFonts w:ascii="Times New Roman" w:eastAsia="Times New Roman" w:hAnsi="Times New Roman" w:cs="Times New Roman"/>
            <w:b/>
            <w:bCs/>
            <w:color w:val="0000FF"/>
            <w:sz w:val="27"/>
            <w:szCs w:val="27"/>
            <w:u w:val="single"/>
            <w:lang w:eastAsia="pt-BR"/>
          </w:rPr>
          <w:t>Veja aqui a Primeira Parte</w:t>
        </w:r>
      </w:hyperlink>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Flávio Tartuce</w:t>
      </w:r>
      <w:r w:rsidRPr="002F4F5E">
        <w:rPr>
          <w:rFonts w:ascii="Times New Roman" w:eastAsia="Times New Roman" w:hAnsi="Times New Roman" w:cs="Times New Roman"/>
          <w:b/>
          <w:bCs/>
          <w:sz w:val="24"/>
          <w:szCs w:val="24"/>
          <w:lang w:eastAsia="pt-BR"/>
        </w:rPr>
        <w:t>[1]</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Conforme destacado em texto anterior, publicado neste canal, o </w:t>
      </w:r>
      <w:hyperlink r:id="rId10" w:tooltip="LEI Nº 13.105, DE 16 DE MARÇO DE 2015." w:history="1">
        <w:r w:rsidRPr="002F4F5E">
          <w:rPr>
            <w:rFonts w:ascii="Times New Roman" w:eastAsia="Times New Roman" w:hAnsi="Times New Roman" w:cs="Times New Roman"/>
            <w:color w:val="0000FF"/>
            <w:sz w:val="24"/>
            <w:szCs w:val="24"/>
            <w:u w:val="single"/>
            <w:lang w:eastAsia="pt-BR"/>
          </w:rPr>
          <w:t>Novo CPC</w:t>
        </w:r>
      </w:hyperlink>
      <w:r w:rsidRPr="002F4F5E">
        <w:rPr>
          <w:rFonts w:ascii="Times New Roman" w:eastAsia="Times New Roman" w:hAnsi="Times New Roman" w:cs="Times New Roman"/>
          <w:sz w:val="24"/>
          <w:szCs w:val="24"/>
          <w:lang w:eastAsia="pt-BR"/>
        </w:rPr>
        <w:t xml:space="preserve"> traz um dispositivo relativo à ação de alteração de regime de bens (art. 734). A regulamentação instrumental dessa demanda é novidade no sistema processual brasileiro. No que diz respeito à possibilidade jurídica dessa ação de modificação do regime de bens, esta foi criada pelo </w:t>
      </w:r>
      <w:hyperlink r:id="rId11" w:tooltip="LEI No 10.406, DE 10 DE JANEIRO DE 2002." w:history="1">
        <w:r w:rsidRPr="002F4F5E">
          <w:rPr>
            <w:rFonts w:ascii="Times New Roman" w:eastAsia="Times New Roman" w:hAnsi="Times New Roman" w:cs="Times New Roman"/>
            <w:color w:val="0000FF"/>
            <w:sz w:val="24"/>
            <w:szCs w:val="24"/>
            <w:u w:val="single"/>
            <w:lang w:eastAsia="pt-BR"/>
          </w:rPr>
          <w:t>Código Civil de 2002</w:t>
        </w:r>
      </w:hyperlink>
      <w:r w:rsidRPr="002F4F5E">
        <w:rPr>
          <w:rFonts w:ascii="Times New Roman" w:eastAsia="Times New Roman" w:hAnsi="Times New Roman" w:cs="Times New Roman"/>
          <w:sz w:val="24"/>
          <w:szCs w:val="24"/>
          <w:lang w:eastAsia="pt-BR"/>
        </w:rPr>
        <w:t xml:space="preserve">, especialmente pelo seu art. </w:t>
      </w:r>
      <w:hyperlink r:id="rId12" w:tooltip="Artigo 1639 da Lei nº 10.406 de 10 de Janeiro de 2002" w:history="1">
        <w:r w:rsidRPr="002F4F5E">
          <w:rPr>
            <w:rFonts w:ascii="Times New Roman" w:eastAsia="Times New Roman" w:hAnsi="Times New Roman" w:cs="Times New Roman"/>
            <w:color w:val="0000FF"/>
            <w:sz w:val="24"/>
            <w:szCs w:val="24"/>
            <w:u w:val="single"/>
            <w:lang w:eastAsia="pt-BR"/>
          </w:rPr>
          <w:t>1.639</w:t>
        </w:r>
      </w:hyperlink>
      <w:r w:rsidRPr="002F4F5E">
        <w:rPr>
          <w:rFonts w:ascii="Times New Roman" w:eastAsia="Times New Roman" w:hAnsi="Times New Roman" w:cs="Times New Roman"/>
          <w:sz w:val="24"/>
          <w:szCs w:val="24"/>
          <w:lang w:eastAsia="pt-BR"/>
        </w:rPr>
        <w:t xml:space="preserve">, </w:t>
      </w:r>
      <w:hyperlink r:id="rId13" w:tooltip="Parágrafo 2 Artigo 1639 da Lei nº 10.406 de 10 de Janeiro de 2002" w:history="1">
        <w:r w:rsidRPr="002F4F5E">
          <w:rPr>
            <w:rFonts w:ascii="Times New Roman" w:eastAsia="Times New Roman" w:hAnsi="Times New Roman" w:cs="Times New Roman"/>
            <w:color w:val="0000FF"/>
            <w:sz w:val="24"/>
            <w:szCs w:val="24"/>
            <w:u w:val="single"/>
            <w:lang w:eastAsia="pt-BR"/>
          </w:rPr>
          <w:t>§ 2º</w:t>
        </w:r>
      </w:hyperlink>
      <w:r w:rsidRPr="002F4F5E">
        <w:rPr>
          <w:rFonts w:ascii="Times New Roman" w:eastAsia="Times New Roman" w:hAnsi="Times New Roman" w:cs="Times New Roman"/>
          <w:sz w:val="24"/>
          <w:szCs w:val="24"/>
          <w:lang w:eastAsia="pt-BR"/>
        </w:rPr>
        <w:t xml:space="preserve">, segundo o qual: “É admissível alteração do regime de bens, mediante autorização judicial em pedido motivado de ambos os cônjuges, apurada a procedência das razões invocadas e ressalvados os direitos de terceiros”. A regra foi praticamente repetida pelo </w:t>
      </w:r>
      <w:r w:rsidRPr="002F4F5E">
        <w:rPr>
          <w:rFonts w:ascii="Times New Roman" w:eastAsia="Times New Roman" w:hAnsi="Times New Roman" w:cs="Times New Roman"/>
          <w:i/>
          <w:iCs/>
          <w:sz w:val="24"/>
          <w:szCs w:val="24"/>
          <w:lang w:eastAsia="pt-BR"/>
        </w:rPr>
        <w:t xml:space="preserve">caput </w:t>
      </w:r>
      <w:r w:rsidRPr="002F4F5E">
        <w:rPr>
          <w:rFonts w:ascii="Times New Roman" w:eastAsia="Times New Roman" w:hAnsi="Times New Roman" w:cs="Times New Roman"/>
          <w:sz w:val="24"/>
          <w:szCs w:val="24"/>
          <w:lang w:eastAsia="pt-BR"/>
        </w:rPr>
        <w:t xml:space="preserve">do art. </w:t>
      </w:r>
      <w:hyperlink r:id="rId14" w:tooltip="Artigo 734 da Lei nº 13.105 de 16 de Março de 2015" w:history="1">
        <w:r w:rsidRPr="002F4F5E">
          <w:rPr>
            <w:rFonts w:ascii="Times New Roman" w:eastAsia="Times New Roman" w:hAnsi="Times New Roman" w:cs="Times New Roman"/>
            <w:color w:val="0000FF"/>
            <w:sz w:val="24"/>
            <w:szCs w:val="24"/>
            <w:u w:val="single"/>
            <w:lang w:eastAsia="pt-BR"/>
          </w:rPr>
          <w:t>734</w:t>
        </w:r>
      </w:hyperlink>
      <w:r w:rsidRPr="002F4F5E">
        <w:rPr>
          <w:rFonts w:ascii="Times New Roman" w:eastAsia="Times New Roman" w:hAnsi="Times New Roman" w:cs="Times New Roman"/>
          <w:sz w:val="24"/>
          <w:szCs w:val="24"/>
          <w:lang w:eastAsia="pt-BR"/>
        </w:rPr>
        <w:t xml:space="preserve"> do </w:t>
      </w:r>
      <w:hyperlink r:id="rId15" w:tooltip="LEI Nº 13.105, DE 16 DE MARÇO DE 2015." w:history="1">
        <w:r w:rsidRPr="002F4F5E">
          <w:rPr>
            <w:rFonts w:ascii="Times New Roman" w:eastAsia="Times New Roman" w:hAnsi="Times New Roman" w:cs="Times New Roman"/>
            <w:color w:val="0000FF"/>
            <w:sz w:val="24"/>
            <w:szCs w:val="24"/>
            <w:u w:val="single"/>
            <w:lang w:eastAsia="pt-BR"/>
          </w:rPr>
          <w:t>Novo Código de Processo Civil</w:t>
        </w:r>
      </w:hyperlink>
      <w:r w:rsidRPr="002F4F5E">
        <w:rPr>
          <w:rFonts w:ascii="Times New Roman" w:eastAsia="Times New Roman" w:hAnsi="Times New Roman" w:cs="Times New Roman"/>
          <w:sz w:val="24"/>
          <w:szCs w:val="24"/>
          <w:lang w:eastAsia="pt-BR"/>
        </w:rPr>
        <w:t xml:space="preserve">. Trata-se de demanda que ganhou grande relevância entre os familiaristas nos últimos anos. </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Analisadas as questões relativas à justa causa para a mudança e os direitos de terceiros, é preciso abordar os efeitos da sentença que defere a alteração. O presente autor segue a posição segundo a qual os efeitos da alteração do regime são </w:t>
      </w:r>
      <w:r w:rsidRPr="002F4F5E">
        <w:rPr>
          <w:rFonts w:ascii="Times New Roman" w:eastAsia="Times New Roman" w:hAnsi="Times New Roman" w:cs="Times New Roman"/>
          <w:i/>
          <w:iCs/>
          <w:sz w:val="24"/>
          <w:szCs w:val="24"/>
          <w:lang w:eastAsia="pt-BR"/>
        </w:rPr>
        <w:t>ex nunc</w:t>
      </w:r>
      <w:r w:rsidRPr="002F4F5E">
        <w:rPr>
          <w:rFonts w:ascii="Times New Roman" w:eastAsia="Times New Roman" w:hAnsi="Times New Roman" w:cs="Times New Roman"/>
          <w:sz w:val="24"/>
          <w:szCs w:val="24"/>
          <w:lang w:eastAsia="pt-BR"/>
        </w:rPr>
        <w:t>, ou seja, a partir do trânsito em julgado da decisão, o que nos parece cristalino, por uma questão de eficácia patrimonial.</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Conforme pontuado pelo Ministro Paulo de Tarso Sanseverino, nos autos do Recurso Especial 1.300.036/MT, julgado pela Terceira Turma do STJ em maio de 2014, “o segundo ponto controvertido situa-se em torno da fixação do termo inicial dos efeitos dessa alteração do regime de bens: retroação à data do casamento (eficácia ‘ex tunc’) ou a partir da data do trânsito em julgado da decisão judicial que o alterou (eficácia ‘ex nunc’). Essa questão, ainda hoje debatida na doutrina e na jurisprudência, é relevante na espécie, pois as partes, após alguns anos de união estável, casaram-se, em 24/05/1997, pelo regime da separação de bens, alterando esse regime para comunhão parcial em 2007, deflagrando-se o processo de separação em outubro de 2008. Em relação à eficácia ‘ex tunc’, o acórdão recorrido sintetiza os argumentos em prol dessa tese, sendo o principal deles o de que o regime de bens do casamento deve ser único ao longo de toda a relação conjugal. Em relação à eficácia ‘ex nunc’, o argumento central é no sentido de que a eficácia da alteração de um regime de bens, que era válido e eficaz, deve ser para o futuro, preservando-se os interesses dos cônjuges e de terceiros”.</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lastRenderedPageBreak/>
        <w:t xml:space="preserve">Ao final, o Ministro Sanseverino segue a segunda solução, compartilhada por este autor, “pois não foi estabelecida pelo legislador a necessidade de que o regime de bens do casamento seja único ao longo de toda a relação conjugal, podendo haver a alteração com a chancela judicial. Em Cortes Estaduais, na mesma esteira, cabe destacar julgados do Tribunal Gaúcho e Paulista” (por todos: TJRS; Apelação cível n. 0056229-48.2015.8.21.7000, Porto Alegre, Sétima Câmara Cível, Rel. Des. Jorge Luís Dall’Agnol, julgado em 26.05.2015, </w:t>
      </w:r>
      <w:r w:rsidRPr="002F4F5E">
        <w:rPr>
          <w:rFonts w:ascii="Times New Roman" w:eastAsia="Times New Roman" w:hAnsi="Times New Roman" w:cs="Times New Roman"/>
          <w:i/>
          <w:iCs/>
          <w:sz w:val="24"/>
          <w:szCs w:val="24"/>
          <w:lang w:eastAsia="pt-BR"/>
        </w:rPr>
        <w:t>DJERS</w:t>
      </w:r>
      <w:r w:rsidRPr="002F4F5E">
        <w:rPr>
          <w:rFonts w:ascii="Times New Roman" w:eastAsia="Times New Roman" w:hAnsi="Times New Roman" w:cs="Times New Roman"/>
          <w:sz w:val="24"/>
          <w:szCs w:val="24"/>
          <w:lang w:eastAsia="pt-BR"/>
        </w:rPr>
        <w:t xml:space="preserve"> 03.06.2015 e TJSP, Apelação n. 0013056-15.2007.8.26.0533, Acórdão n. 5065672, Santa Bárbara d’Oeste, Nona Câmara de Direito Privado, Rel. Des. Viviani Nicolau, julgado em 12/04/2011, </w:t>
      </w:r>
      <w:r w:rsidRPr="002F4F5E">
        <w:rPr>
          <w:rFonts w:ascii="Times New Roman" w:eastAsia="Times New Roman" w:hAnsi="Times New Roman" w:cs="Times New Roman"/>
          <w:i/>
          <w:iCs/>
          <w:sz w:val="24"/>
          <w:szCs w:val="24"/>
          <w:lang w:eastAsia="pt-BR"/>
        </w:rPr>
        <w:t>DJESP</w:t>
      </w:r>
      <w:r w:rsidRPr="002F4F5E">
        <w:rPr>
          <w:rFonts w:ascii="Times New Roman" w:eastAsia="Times New Roman" w:hAnsi="Times New Roman" w:cs="Times New Roman"/>
          <w:sz w:val="24"/>
          <w:szCs w:val="24"/>
          <w:lang w:eastAsia="pt-BR"/>
        </w:rPr>
        <w:t xml:space="preserve"> 01/06/2011).</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Esclareça-se que a natureza desses efeitos é capaz de afastar a necessidade de prova da ausência de prejuízos a terceiros pelos cônjuges, para que a alteração do regime de bens seja deferida, conforme sustentamos em texto anterior. Ademais, eventuais efeitos </w:t>
      </w:r>
      <w:r w:rsidRPr="002F4F5E">
        <w:rPr>
          <w:rFonts w:ascii="Times New Roman" w:eastAsia="Times New Roman" w:hAnsi="Times New Roman" w:cs="Times New Roman"/>
          <w:i/>
          <w:iCs/>
          <w:sz w:val="24"/>
          <w:szCs w:val="24"/>
          <w:lang w:eastAsia="pt-BR"/>
        </w:rPr>
        <w:t>ex tunc</w:t>
      </w:r>
      <w:r w:rsidRPr="002F4F5E">
        <w:rPr>
          <w:rFonts w:ascii="Times New Roman" w:eastAsia="Times New Roman" w:hAnsi="Times New Roman" w:cs="Times New Roman"/>
          <w:sz w:val="24"/>
          <w:szCs w:val="24"/>
          <w:lang w:eastAsia="pt-BR"/>
        </w:rPr>
        <w:t xml:space="preserve"> fariam que o regime de bens anterior não tivesse eficácia, atingindo um ato jurídico perfeito, constituído por vontade dos cônjuges.</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No âmbito da doutrina, e da própria jurisprudência, ressalte-se, todavia, que a questão não é pacífica. Pablo Stolze Gagliano e Rodolfo Pamplona Filho, por exemplo, entendem que os efeitos são </w:t>
      </w:r>
      <w:r w:rsidRPr="002F4F5E">
        <w:rPr>
          <w:rFonts w:ascii="Times New Roman" w:eastAsia="Times New Roman" w:hAnsi="Times New Roman" w:cs="Times New Roman"/>
          <w:i/>
          <w:iCs/>
          <w:sz w:val="24"/>
          <w:szCs w:val="24"/>
          <w:lang w:eastAsia="pt-BR"/>
        </w:rPr>
        <w:t>ex tunc</w:t>
      </w:r>
      <w:r w:rsidRPr="002F4F5E">
        <w:rPr>
          <w:rFonts w:ascii="Times New Roman" w:eastAsia="Times New Roman" w:hAnsi="Times New Roman" w:cs="Times New Roman"/>
          <w:sz w:val="24"/>
          <w:szCs w:val="24"/>
          <w:lang w:eastAsia="pt-BR"/>
        </w:rPr>
        <w:t xml:space="preserve"> porque “quando os cônjuges pretendem modificar o seu regime, o patrimônio atingido, que sofrerá a incidência do novo regramento é, por óbvio, aquele existente, até a data da sentença da mudança. Ora, com isso, é forçoso convir que os bens e valores amealhados — em conjunto ou separadamente — pelos consortes até o momento da mudança serão atingidos pelo pronunciamento judicial, submetendo-se, pois, a novo regramento. Sob esse aspecto, a sentença, pois, necessariamente, incide no patrimônio anterior. Daí por que a sua eficácia é </w:t>
      </w:r>
      <w:r w:rsidRPr="002F4F5E">
        <w:rPr>
          <w:rFonts w:ascii="Times New Roman" w:eastAsia="Times New Roman" w:hAnsi="Times New Roman" w:cs="Times New Roman"/>
          <w:i/>
          <w:iCs/>
          <w:sz w:val="24"/>
          <w:szCs w:val="24"/>
          <w:lang w:eastAsia="pt-BR"/>
        </w:rPr>
        <w:t>ex tunc</w:t>
      </w:r>
      <w:r w:rsidRPr="002F4F5E">
        <w:rPr>
          <w:rFonts w:ascii="Times New Roman" w:eastAsia="Times New Roman" w:hAnsi="Times New Roman" w:cs="Times New Roman"/>
          <w:sz w:val="24"/>
          <w:szCs w:val="24"/>
          <w:lang w:eastAsia="pt-BR"/>
        </w:rPr>
        <w:t>” (</w:t>
      </w:r>
      <w:r w:rsidRPr="002F4F5E">
        <w:rPr>
          <w:rFonts w:ascii="Times New Roman" w:eastAsia="Times New Roman" w:hAnsi="Times New Roman" w:cs="Times New Roman"/>
          <w:i/>
          <w:iCs/>
          <w:sz w:val="24"/>
          <w:szCs w:val="24"/>
          <w:lang w:eastAsia="pt-BR"/>
        </w:rPr>
        <w:t>Novo Curso de Direito Civil</w:t>
      </w:r>
      <w:r w:rsidRPr="002F4F5E">
        <w:rPr>
          <w:rFonts w:ascii="Times New Roman" w:eastAsia="Times New Roman" w:hAnsi="Times New Roman" w:cs="Times New Roman"/>
          <w:sz w:val="24"/>
          <w:szCs w:val="24"/>
          <w:lang w:eastAsia="pt-BR"/>
        </w:rPr>
        <w:t xml:space="preserve"> Direito de Família. 2. Ed. São Paulo: Saraiva, 2012, v. 6, p. 336). Também podem ser encontradas decisões estaduais que seguem esse caminho (por todos: TJMG, Apelação cível n. 1.0223.11.006774-9/001, Rel. Des. Luis Carlos Gambogi, julgado em 26/06/2014, </w:t>
      </w:r>
      <w:r w:rsidRPr="002F4F5E">
        <w:rPr>
          <w:rFonts w:ascii="Times New Roman" w:eastAsia="Times New Roman" w:hAnsi="Times New Roman" w:cs="Times New Roman"/>
          <w:i/>
          <w:iCs/>
          <w:sz w:val="24"/>
          <w:szCs w:val="24"/>
          <w:lang w:eastAsia="pt-BR"/>
        </w:rPr>
        <w:t>DJEMG</w:t>
      </w:r>
      <w:r w:rsidRPr="002F4F5E">
        <w:rPr>
          <w:rFonts w:ascii="Times New Roman" w:eastAsia="Times New Roman" w:hAnsi="Times New Roman" w:cs="Times New Roman"/>
          <w:sz w:val="24"/>
          <w:szCs w:val="24"/>
          <w:lang w:eastAsia="pt-BR"/>
        </w:rPr>
        <w:t xml:space="preserve"> 07.07.2014 e TJDF, Recurso 2010.01.1.006987-3, Acórdão n. 440.239, Primeira Turma Cível, Rel. Des. Natanael Caetano, </w:t>
      </w:r>
      <w:r w:rsidRPr="002F4F5E">
        <w:rPr>
          <w:rFonts w:ascii="Times New Roman" w:eastAsia="Times New Roman" w:hAnsi="Times New Roman" w:cs="Times New Roman"/>
          <w:i/>
          <w:iCs/>
          <w:sz w:val="24"/>
          <w:szCs w:val="24"/>
          <w:lang w:eastAsia="pt-BR"/>
        </w:rPr>
        <w:t>DJDFTE</w:t>
      </w:r>
      <w:r w:rsidRPr="002F4F5E">
        <w:rPr>
          <w:rFonts w:ascii="Times New Roman" w:eastAsia="Times New Roman" w:hAnsi="Times New Roman" w:cs="Times New Roman"/>
          <w:sz w:val="24"/>
          <w:szCs w:val="24"/>
          <w:lang w:eastAsia="pt-BR"/>
        </w:rPr>
        <w:t xml:space="preserve"> 25.08.2010, pág. 77).</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Exposta a controvérsia e reiterada nossa posição pelos efeitos </w:t>
      </w:r>
      <w:r w:rsidRPr="002F4F5E">
        <w:rPr>
          <w:rFonts w:ascii="Times New Roman" w:eastAsia="Times New Roman" w:hAnsi="Times New Roman" w:cs="Times New Roman"/>
          <w:i/>
          <w:iCs/>
          <w:sz w:val="24"/>
          <w:szCs w:val="24"/>
          <w:lang w:eastAsia="pt-BR"/>
        </w:rPr>
        <w:t>ex nunc</w:t>
      </w:r>
      <w:r w:rsidRPr="002F4F5E">
        <w:rPr>
          <w:rFonts w:ascii="Times New Roman" w:eastAsia="Times New Roman" w:hAnsi="Times New Roman" w:cs="Times New Roman"/>
          <w:sz w:val="24"/>
          <w:szCs w:val="24"/>
          <w:lang w:eastAsia="pt-BR"/>
        </w:rPr>
        <w:t xml:space="preserve"> da sentença que altera o regime de bens, é preciso retomar debate de direito intertemporal a respeito dessa demanda, regulamentada agora pelo </w:t>
      </w:r>
      <w:hyperlink r:id="rId16" w:tooltip="LEI Nº 13.105, DE 16 DE MARÇO DE 2015." w:history="1">
        <w:r w:rsidRPr="002F4F5E">
          <w:rPr>
            <w:rFonts w:ascii="Times New Roman" w:eastAsia="Times New Roman" w:hAnsi="Times New Roman" w:cs="Times New Roman"/>
            <w:color w:val="0000FF"/>
            <w:sz w:val="24"/>
            <w:szCs w:val="24"/>
            <w:u w:val="single"/>
            <w:lang w:eastAsia="pt-BR"/>
          </w:rPr>
          <w:t>Novo CPC</w:t>
        </w:r>
      </w:hyperlink>
      <w:r w:rsidRPr="002F4F5E">
        <w:rPr>
          <w:rFonts w:ascii="Times New Roman" w:eastAsia="Times New Roman" w:hAnsi="Times New Roman" w:cs="Times New Roman"/>
          <w:sz w:val="24"/>
          <w:szCs w:val="24"/>
          <w:lang w:eastAsia="pt-BR"/>
        </w:rPr>
        <w:t xml:space="preserve">. Seria possível alterar regime de bens de casamento celebrado na vigência do </w:t>
      </w:r>
      <w:hyperlink r:id="rId17" w:tooltip="Lei nº 3.071, de 1º de janeiro de 1916." w:history="1">
        <w:r w:rsidRPr="002F4F5E">
          <w:rPr>
            <w:rFonts w:ascii="Times New Roman" w:eastAsia="Times New Roman" w:hAnsi="Times New Roman" w:cs="Times New Roman"/>
            <w:color w:val="0000FF"/>
            <w:sz w:val="24"/>
            <w:szCs w:val="24"/>
            <w:u w:val="single"/>
            <w:lang w:eastAsia="pt-BR"/>
          </w:rPr>
          <w:t>Código Civil de 1916</w:t>
        </w:r>
      </w:hyperlink>
      <w:r w:rsidRPr="002F4F5E">
        <w:rPr>
          <w:rFonts w:ascii="Times New Roman" w:eastAsia="Times New Roman" w:hAnsi="Times New Roman" w:cs="Times New Roman"/>
          <w:sz w:val="24"/>
          <w:szCs w:val="24"/>
          <w:lang w:eastAsia="pt-BR"/>
        </w:rPr>
        <w:t xml:space="preserve"> e do Código de Processo Civil de 1973?</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Muitos poderiam pensar que a resposta é negativa, diante do que consta do art. </w:t>
      </w:r>
      <w:hyperlink r:id="rId18" w:tooltip="Artigo 2039 da Lei nº 10.406 de 10 de Janeiro de 2002" w:history="1">
        <w:r w:rsidRPr="002F4F5E">
          <w:rPr>
            <w:rFonts w:ascii="Times New Roman" w:eastAsia="Times New Roman" w:hAnsi="Times New Roman" w:cs="Times New Roman"/>
            <w:color w:val="0000FF"/>
            <w:sz w:val="24"/>
            <w:szCs w:val="24"/>
            <w:u w:val="single"/>
            <w:lang w:eastAsia="pt-BR"/>
          </w:rPr>
          <w:t>2.039</w:t>
        </w:r>
      </w:hyperlink>
      <w:r w:rsidRPr="002F4F5E">
        <w:rPr>
          <w:rFonts w:ascii="Times New Roman" w:eastAsia="Times New Roman" w:hAnsi="Times New Roman" w:cs="Times New Roman"/>
          <w:sz w:val="24"/>
          <w:szCs w:val="24"/>
          <w:lang w:eastAsia="pt-BR"/>
        </w:rPr>
        <w:t xml:space="preserve"> do </w:t>
      </w:r>
      <w:hyperlink r:id="rId19" w:tooltip="LEI No 10.406, DE 10 DE JANEIRO DE 2002." w:history="1">
        <w:r w:rsidRPr="002F4F5E">
          <w:rPr>
            <w:rFonts w:ascii="Times New Roman" w:eastAsia="Times New Roman" w:hAnsi="Times New Roman" w:cs="Times New Roman"/>
            <w:color w:val="0000FF"/>
            <w:sz w:val="24"/>
            <w:szCs w:val="24"/>
            <w:u w:val="single"/>
            <w:lang w:eastAsia="pt-BR"/>
          </w:rPr>
          <w:t>Código Civil de 2002</w:t>
        </w:r>
      </w:hyperlink>
      <w:r w:rsidRPr="002F4F5E">
        <w:rPr>
          <w:rFonts w:ascii="Times New Roman" w:eastAsia="Times New Roman" w:hAnsi="Times New Roman" w:cs="Times New Roman"/>
          <w:sz w:val="24"/>
          <w:szCs w:val="24"/>
          <w:lang w:eastAsia="pt-BR"/>
        </w:rPr>
        <w:t xml:space="preserve">, </w:t>
      </w:r>
      <w:r w:rsidRPr="002F4F5E">
        <w:rPr>
          <w:rFonts w:ascii="Times New Roman" w:eastAsia="Times New Roman" w:hAnsi="Times New Roman" w:cs="Times New Roman"/>
          <w:i/>
          <w:iCs/>
          <w:sz w:val="24"/>
          <w:szCs w:val="24"/>
          <w:lang w:eastAsia="pt-BR"/>
        </w:rPr>
        <w:t>in verbis</w:t>
      </w:r>
      <w:r w:rsidRPr="002F4F5E">
        <w:rPr>
          <w:rFonts w:ascii="Times New Roman" w:eastAsia="Times New Roman" w:hAnsi="Times New Roman" w:cs="Times New Roman"/>
          <w:sz w:val="24"/>
          <w:szCs w:val="24"/>
          <w:lang w:eastAsia="pt-BR"/>
        </w:rPr>
        <w:t xml:space="preserve">:“O regime de bens nos casamentos celebrados na vigência do </w:t>
      </w:r>
      <w:hyperlink r:id="rId20" w:tooltip="Lei nº 3.071, de 1º de janeiro de 1916." w:history="1">
        <w:r w:rsidRPr="002F4F5E">
          <w:rPr>
            <w:rFonts w:ascii="Times New Roman" w:eastAsia="Times New Roman" w:hAnsi="Times New Roman" w:cs="Times New Roman"/>
            <w:color w:val="0000FF"/>
            <w:sz w:val="24"/>
            <w:szCs w:val="24"/>
            <w:u w:val="single"/>
            <w:lang w:eastAsia="pt-BR"/>
          </w:rPr>
          <w:t>Código Civil anterior</w:t>
        </w:r>
      </w:hyperlink>
      <w:r w:rsidRPr="002F4F5E">
        <w:rPr>
          <w:rFonts w:ascii="Times New Roman" w:eastAsia="Times New Roman" w:hAnsi="Times New Roman" w:cs="Times New Roman"/>
          <w:sz w:val="24"/>
          <w:szCs w:val="24"/>
          <w:lang w:eastAsia="pt-BR"/>
        </w:rPr>
        <w:t xml:space="preserve">, Lei </w:t>
      </w:r>
      <w:hyperlink r:id="rId21" w:tooltip="Lei nº 3.071, de 1º de janeiro de 1916." w:history="1">
        <w:r w:rsidRPr="002F4F5E">
          <w:rPr>
            <w:rFonts w:ascii="Times New Roman" w:eastAsia="Times New Roman" w:hAnsi="Times New Roman" w:cs="Times New Roman"/>
            <w:color w:val="0000FF"/>
            <w:sz w:val="24"/>
            <w:szCs w:val="24"/>
            <w:u w:val="single"/>
            <w:lang w:eastAsia="pt-BR"/>
          </w:rPr>
          <w:t>3.071</w:t>
        </w:r>
      </w:hyperlink>
      <w:r w:rsidRPr="002F4F5E">
        <w:rPr>
          <w:rFonts w:ascii="Times New Roman" w:eastAsia="Times New Roman" w:hAnsi="Times New Roman" w:cs="Times New Roman"/>
          <w:sz w:val="24"/>
          <w:szCs w:val="24"/>
          <w:lang w:eastAsia="pt-BR"/>
        </w:rPr>
        <w:t>, de 1º de janeiro de 1916, é o por ele estabelecido”. Essa, contudo, não é a melhor conclusão para os devidos fins práticos.</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Um dos primeiros autores na doutrina brasileira a perceber a real intenção do legislador foi Euclides de Oliveira. A respeito do art. </w:t>
      </w:r>
      <w:hyperlink r:id="rId22" w:tooltip="Artigo 2039 da Lei nº 10.406 de 10 de Janeiro de 2002" w:history="1">
        <w:r w:rsidRPr="002F4F5E">
          <w:rPr>
            <w:rFonts w:ascii="Times New Roman" w:eastAsia="Times New Roman" w:hAnsi="Times New Roman" w:cs="Times New Roman"/>
            <w:color w:val="0000FF"/>
            <w:sz w:val="24"/>
            <w:szCs w:val="24"/>
            <w:u w:val="single"/>
            <w:lang w:eastAsia="pt-BR"/>
          </w:rPr>
          <w:t>2.039</w:t>
        </w:r>
      </w:hyperlink>
      <w:r w:rsidRPr="002F4F5E">
        <w:rPr>
          <w:rFonts w:ascii="Times New Roman" w:eastAsia="Times New Roman" w:hAnsi="Times New Roman" w:cs="Times New Roman"/>
          <w:sz w:val="24"/>
          <w:szCs w:val="24"/>
          <w:lang w:eastAsia="pt-BR"/>
        </w:rPr>
        <w:t xml:space="preserve">, explica o jurista que esse dispositivo legal “apenas determina que, para os casamentos anteriores ao </w:t>
      </w:r>
      <w:hyperlink r:id="rId23" w:tooltip="LEI No 10.406, DE 10 DE JANEIRO DE 2002." w:history="1">
        <w:r w:rsidRPr="002F4F5E">
          <w:rPr>
            <w:rFonts w:ascii="Times New Roman" w:eastAsia="Times New Roman" w:hAnsi="Times New Roman" w:cs="Times New Roman"/>
            <w:color w:val="0000FF"/>
            <w:sz w:val="24"/>
            <w:szCs w:val="24"/>
            <w:u w:val="single"/>
            <w:lang w:eastAsia="pt-BR"/>
          </w:rPr>
          <w:t>Código Civil de 2002</w:t>
        </w:r>
      </w:hyperlink>
      <w:r w:rsidRPr="002F4F5E">
        <w:rPr>
          <w:rFonts w:ascii="Times New Roman" w:eastAsia="Times New Roman" w:hAnsi="Times New Roman" w:cs="Times New Roman"/>
          <w:sz w:val="24"/>
          <w:szCs w:val="24"/>
          <w:lang w:eastAsia="pt-BR"/>
        </w:rPr>
        <w:t xml:space="preserve">, não poderão ser utilizadas as regras do </w:t>
      </w:r>
      <w:hyperlink r:id="rId24" w:tooltip="LEI No 10.406, DE 10 DE JANEIRO DE 2002." w:history="1">
        <w:r w:rsidRPr="002F4F5E">
          <w:rPr>
            <w:rFonts w:ascii="Times New Roman" w:eastAsia="Times New Roman" w:hAnsi="Times New Roman" w:cs="Times New Roman"/>
            <w:color w:val="0000FF"/>
            <w:sz w:val="24"/>
            <w:szCs w:val="24"/>
            <w:u w:val="single"/>
            <w:lang w:eastAsia="pt-BR"/>
          </w:rPr>
          <w:t>novo Código Civil</w:t>
        </w:r>
      </w:hyperlink>
      <w:r w:rsidRPr="002F4F5E">
        <w:rPr>
          <w:rFonts w:ascii="Times New Roman" w:eastAsia="Times New Roman" w:hAnsi="Times New Roman" w:cs="Times New Roman"/>
          <w:sz w:val="24"/>
          <w:szCs w:val="24"/>
          <w:lang w:eastAsia="pt-BR"/>
        </w:rPr>
        <w:t xml:space="preserve"> referentes às espécies de regime de bens, para efeito de partilha do patrimônio do casal. Ou seja, somente as regras específicas acerca de cada regime é que se aplicam em conformidade com a lei </w:t>
      </w:r>
      <w:r w:rsidRPr="002F4F5E">
        <w:rPr>
          <w:rFonts w:ascii="Times New Roman" w:eastAsia="Times New Roman" w:hAnsi="Times New Roman" w:cs="Times New Roman"/>
          <w:sz w:val="24"/>
          <w:szCs w:val="24"/>
          <w:lang w:eastAsia="pt-BR"/>
        </w:rPr>
        <w:lastRenderedPageBreak/>
        <w:t xml:space="preserve">vigente à época da celebração do casamento, mas, quanto às disposições gerais, comuns a todos os regimes, aplica-se o novo Código Civil” (Alteração do Regime de Bens no Casamento. In: DELGADO, Mário Luiz; ALVES, Jones Figueirêdo [Coords.]. </w:t>
      </w:r>
      <w:r w:rsidRPr="002F4F5E">
        <w:rPr>
          <w:rFonts w:ascii="Times New Roman" w:eastAsia="Times New Roman" w:hAnsi="Times New Roman" w:cs="Times New Roman"/>
          <w:i/>
          <w:iCs/>
          <w:sz w:val="24"/>
          <w:szCs w:val="24"/>
          <w:lang w:eastAsia="pt-BR"/>
        </w:rPr>
        <w:t xml:space="preserve">Questões Controvertidas no </w:t>
      </w:r>
      <w:hyperlink r:id="rId25" w:tooltip="LEI No 10.406, DE 10 DE JANEIRO DE 2002." w:history="1">
        <w:r w:rsidRPr="002F4F5E">
          <w:rPr>
            <w:rFonts w:ascii="Times New Roman" w:eastAsia="Times New Roman" w:hAnsi="Times New Roman" w:cs="Times New Roman"/>
            <w:i/>
            <w:iCs/>
            <w:color w:val="0000FF"/>
            <w:sz w:val="24"/>
            <w:szCs w:val="24"/>
            <w:u w:val="single"/>
            <w:lang w:eastAsia="pt-BR"/>
          </w:rPr>
          <w:t>Novo Código Civil</w:t>
        </w:r>
      </w:hyperlink>
      <w:r w:rsidRPr="002F4F5E">
        <w:rPr>
          <w:rFonts w:ascii="Times New Roman" w:eastAsia="Times New Roman" w:hAnsi="Times New Roman" w:cs="Times New Roman"/>
          <w:i/>
          <w:iCs/>
          <w:sz w:val="24"/>
          <w:szCs w:val="24"/>
          <w:lang w:eastAsia="pt-BR"/>
        </w:rPr>
        <w:t>.</w:t>
      </w:r>
      <w:r w:rsidRPr="002F4F5E">
        <w:rPr>
          <w:rFonts w:ascii="Times New Roman" w:eastAsia="Times New Roman" w:hAnsi="Times New Roman" w:cs="Times New Roman"/>
          <w:sz w:val="24"/>
          <w:szCs w:val="24"/>
          <w:lang w:eastAsia="pt-BR"/>
        </w:rPr>
        <w:t xml:space="preserve"> São Paulo: Método, 2003. V. 1, p. 389).</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Em síntese, como o art. </w:t>
      </w:r>
      <w:hyperlink r:id="rId26" w:tooltip="Artigo 1639 da Lei nº 10.406 de 10 de Janeiro de 2002" w:history="1">
        <w:r w:rsidRPr="002F4F5E">
          <w:rPr>
            <w:rFonts w:ascii="Times New Roman" w:eastAsia="Times New Roman" w:hAnsi="Times New Roman" w:cs="Times New Roman"/>
            <w:color w:val="0000FF"/>
            <w:sz w:val="24"/>
            <w:szCs w:val="24"/>
            <w:u w:val="single"/>
            <w:lang w:eastAsia="pt-BR"/>
          </w:rPr>
          <w:t>1.639</w:t>
        </w:r>
      </w:hyperlink>
      <w:r w:rsidRPr="002F4F5E">
        <w:rPr>
          <w:rFonts w:ascii="Times New Roman" w:eastAsia="Times New Roman" w:hAnsi="Times New Roman" w:cs="Times New Roman"/>
          <w:sz w:val="24"/>
          <w:szCs w:val="24"/>
          <w:lang w:eastAsia="pt-BR"/>
        </w:rPr>
        <w:t xml:space="preserve">, </w:t>
      </w:r>
      <w:hyperlink r:id="rId27" w:tooltip="Parágrafo 2 Artigo 1639 da Lei nº 10.406 de 10 de Janeiro de 2002" w:history="1">
        <w:r w:rsidRPr="002F4F5E">
          <w:rPr>
            <w:rFonts w:ascii="Times New Roman" w:eastAsia="Times New Roman" w:hAnsi="Times New Roman" w:cs="Times New Roman"/>
            <w:color w:val="0000FF"/>
            <w:sz w:val="24"/>
            <w:szCs w:val="24"/>
            <w:u w:val="single"/>
            <w:lang w:eastAsia="pt-BR"/>
          </w:rPr>
          <w:t>§ 2º</w:t>
        </w:r>
      </w:hyperlink>
      <w:r w:rsidRPr="002F4F5E">
        <w:rPr>
          <w:rFonts w:ascii="Times New Roman" w:eastAsia="Times New Roman" w:hAnsi="Times New Roman" w:cs="Times New Roman"/>
          <w:sz w:val="24"/>
          <w:szCs w:val="24"/>
          <w:lang w:eastAsia="pt-BR"/>
        </w:rPr>
        <w:t xml:space="preserve">, do </w:t>
      </w:r>
      <w:hyperlink r:id="rId28" w:tooltip="LEI No 10.406, DE 10 DE JANEIRO DE 2002." w:history="1">
        <w:r w:rsidRPr="002F4F5E">
          <w:rPr>
            <w:rFonts w:ascii="Times New Roman" w:eastAsia="Times New Roman" w:hAnsi="Times New Roman" w:cs="Times New Roman"/>
            <w:color w:val="0000FF"/>
            <w:sz w:val="24"/>
            <w:szCs w:val="24"/>
            <w:u w:val="single"/>
            <w:lang w:eastAsia="pt-BR"/>
          </w:rPr>
          <w:t>CC/2002</w:t>
        </w:r>
      </w:hyperlink>
      <w:r w:rsidRPr="002F4F5E">
        <w:rPr>
          <w:rFonts w:ascii="Times New Roman" w:eastAsia="Times New Roman" w:hAnsi="Times New Roman" w:cs="Times New Roman"/>
          <w:sz w:val="24"/>
          <w:szCs w:val="24"/>
          <w:lang w:eastAsia="pt-BR"/>
        </w:rPr>
        <w:t xml:space="preserve"> é uma norma geral quanto ao regime de bens, pode ser aplicada a qualquer casamento, entendimento esse que foi acatado pelo Tribunal de Justiça de São Paulo, já no remoto ano de 2004 (TJSP, Apelação Cível n. 320.566-4/0, São Paulo, Décima Câmara de Direito Privado, Rel. Marcondes Machado, 08.06.2004, v. U.).</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Contudo, coube ao Superior Tribunal de Justiça fazer a melhor interpretação da questão. Isso porque a Corte utilizou o art. </w:t>
      </w:r>
      <w:hyperlink r:id="rId29" w:tooltip="Artigo 2035 da Lei nº 10.406 de 10 de Janeiro de 2002" w:history="1">
        <w:r w:rsidRPr="002F4F5E">
          <w:rPr>
            <w:rFonts w:ascii="Times New Roman" w:eastAsia="Times New Roman" w:hAnsi="Times New Roman" w:cs="Times New Roman"/>
            <w:color w:val="0000FF"/>
            <w:sz w:val="24"/>
            <w:szCs w:val="24"/>
            <w:u w:val="single"/>
            <w:lang w:eastAsia="pt-BR"/>
          </w:rPr>
          <w:t>2.035</w:t>
        </w:r>
      </w:hyperlink>
      <w:r w:rsidRPr="002F4F5E">
        <w:rPr>
          <w:rFonts w:ascii="Times New Roman" w:eastAsia="Times New Roman" w:hAnsi="Times New Roman" w:cs="Times New Roman"/>
          <w:sz w:val="24"/>
          <w:szCs w:val="24"/>
          <w:lang w:eastAsia="pt-BR"/>
        </w:rPr>
        <w:t xml:space="preserve">, </w:t>
      </w:r>
      <w:r w:rsidRPr="002F4F5E">
        <w:rPr>
          <w:rFonts w:ascii="Times New Roman" w:eastAsia="Times New Roman" w:hAnsi="Times New Roman" w:cs="Times New Roman"/>
          <w:i/>
          <w:iCs/>
          <w:sz w:val="24"/>
          <w:szCs w:val="24"/>
          <w:lang w:eastAsia="pt-BR"/>
        </w:rPr>
        <w:t>caput</w:t>
      </w:r>
      <w:r w:rsidRPr="002F4F5E">
        <w:rPr>
          <w:rFonts w:ascii="Times New Roman" w:eastAsia="Times New Roman" w:hAnsi="Times New Roman" w:cs="Times New Roman"/>
          <w:sz w:val="24"/>
          <w:szCs w:val="24"/>
          <w:lang w:eastAsia="pt-BR"/>
        </w:rPr>
        <w:t xml:space="preserve">, do CC/2002 e a </w:t>
      </w:r>
      <w:r w:rsidRPr="002F4F5E">
        <w:rPr>
          <w:rFonts w:ascii="Times New Roman" w:eastAsia="Times New Roman" w:hAnsi="Times New Roman" w:cs="Times New Roman"/>
          <w:i/>
          <w:iCs/>
          <w:sz w:val="24"/>
          <w:szCs w:val="24"/>
          <w:lang w:eastAsia="pt-BR"/>
        </w:rPr>
        <w:t xml:space="preserve">Escada Ponteana </w:t>
      </w:r>
      <w:r w:rsidRPr="002F4F5E">
        <w:rPr>
          <w:rFonts w:ascii="Times New Roman" w:eastAsia="Times New Roman" w:hAnsi="Times New Roman" w:cs="Times New Roman"/>
          <w:sz w:val="24"/>
          <w:szCs w:val="24"/>
          <w:lang w:eastAsia="pt-BR"/>
        </w:rPr>
        <w:t>para deduzir que é possível alterar regime de bens de casamento celebrado na vigência da codificação material anterior.</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Como é notório, Pontes de Miranda, em seu </w:t>
      </w:r>
      <w:r w:rsidRPr="002F4F5E">
        <w:rPr>
          <w:rFonts w:ascii="Times New Roman" w:eastAsia="Times New Roman" w:hAnsi="Times New Roman" w:cs="Times New Roman"/>
          <w:i/>
          <w:iCs/>
          <w:sz w:val="24"/>
          <w:szCs w:val="24"/>
          <w:lang w:eastAsia="pt-BR"/>
        </w:rPr>
        <w:t>Tratado de Direito Privado</w:t>
      </w:r>
      <w:r w:rsidRPr="002F4F5E">
        <w:rPr>
          <w:rFonts w:ascii="Times New Roman" w:eastAsia="Times New Roman" w:hAnsi="Times New Roman" w:cs="Times New Roman"/>
          <w:sz w:val="24"/>
          <w:szCs w:val="24"/>
          <w:lang w:eastAsia="pt-BR"/>
        </w:rPr>
        <w:t xml:space="preserve"> (Tomos 3, 4 e 5), dividiu o negócio jurídico em três planos. O primeiro é o </w:t>
      </w:r>
      <w:r w:rsidRPr="002F4F5E">
        <w:rPr>
          <w:rFonts w:ascii="Times New Roman" w:eastAsia="Times New Roman" w:hAnsi="Times New Roman" w:cs="Times New Roman"/>
          <w:i/>
          <w:iCs/>
          <w:sz w:val="24"/>
          <w:szCs w:val="24"/>
          <w:lang w:eastAsia="pt-BR"/>
        </w:rPr>
        <w:t>plano da existência</w:t>
      </w:r>
      <w:r w:rsidRPr="002F4F5E">
        <w:rPr>
          <w:rFonts w:ascii="Times New Roman" w:eastAsia="Times New Roman" w:hAnsi="Times New Roman" w:cs="Times New Roman"/>
          <w:sz w:val="24"/>
          <w:szCs w:val="24"/>
          <w:lang w:eastAsia="pt-BR"/>
        </w:rPr>
        <w:t xml:space="preserve">, no qual estão os </w:t>
      </w:r>
      <w:r w:rsidRPr="002F4F5E">
        <w:rPr>
          <w:rFonts w:ascii="Times New Roman" w:eastAsia="Times New Roman" w:hAnsi="Times New Roman" w:cs="Times New Roman"/>
          <w:i/>
          <w:iCs/>
          <w:sz w:val="24"/>
          <w:szCs w:val="24"/>
          <w:lang w:eastAsia="pt-BR"/>
        </w:rPr>
        <w:t>pressupostos mínimos</w:t>
      </w:r>
      <w:r w:rsidRPr="002F4F5E">
        <w:rPr>
          <w:rFonts w:ascii="Times New Roman" w:eastAsia="Times New Roman" w:hAnsi="Times New Roman" w:cs="Times New Roman"/>
          <w:sz w:val="24"/>
          <w:szCs w:val="24"/>
          <w:lang w:eastAsia="pt-BR"/>
        </w:rPr>
        <w:t xml:space="preserve"> de um negócio jurídico, que formam o seu </w:t>
      </w:r>
      <w:r w:rsidRPr="002F4F5E">
        <w:rPr>
          <w:rFonts w:ascii="Times New Roman" w:eastAsia="Times New Roman" w:hAnsi="Times New Roman" w:cs="Times New Roman"/>
          <w:i/>
          <w:iCs/>
          <w:sz w:val="24"/>
          <w:szCs w:val="24"/>
          <w:lang w:eastAsia="pt-BR"/>
        </w:rPr>
        <w:t>suporte fático</w:t>
      </w:r>
      <w:r w:rsidRPr="002F4F5E">
        <w:rPr>
          <w:rFonts w:ascii="Times New Roman" w:eastAsia="Times New Roman" w:hAnsi="Times New Roman" w:cs="Times New Roman"/>
          <w:sz w:val="24"/>
          <w:szCs w:val="24"/>
          <w:lang w:eastAsia="pt-BR"/>
        </w:rPr>
        <w:t xml:space="preserve">: partes, vontade, objeto e forma. O segundo é o </w:t>
      </w:r>
      <w:r w:rsidRPr="002F4F5E">
        <w:rPr>
          <w:rFonts w:ascii="Times New Roman" w:eastAsia="Times New Roman" w:hAnsi="Times New Roman" w:cs="Times New Roman"/>
          <w:i/>
          <w:iCs/>
          <w:sz w:val="24"/>
          <w:szCs w:val="24"/>
          <w:lang w:eastAsia="pt-BR"/>
        </w:rPr>
        <w:t>plano da validade</w:t>
      </w:r>
      <w:r w:rsidRPr="002F4F5E">
        <w:rPr>
          <w:rFonts w:ascii="Times New Roman" w:eastAsia="Times New Roman" w:hAnsi="Times New Roman" w:cs="Times New Roman"/>
          <w:sz w:val="24"/>
          <w:szCs w:val="24"/>
          <w:lang w:eastAsia="pt-BR"/>
        </w:rPr>
        <w:t xml:space="preserve">, em que os elementos mínimos de existência recebem qualificações, nos termos do art. </w:t>
      </w:r>
      <w:hyperlink r:id="rId30" w:tooltip="Artigo 104 da Lei nº 10.406 de 10 de Janeiro de 2002" w:history="1">
        <w:r w:rsidRPr="002F4F5E">
          <w:rPr>
            <w:rFonts w:ascii="Times New Roman" w:eastAsia="Times New Roman" w:hAnsi="Times New Roman" w:cs="Times New Roman"/>
            <w:color w:val="0000FF"/>
            <w:sz w:val="24"/>
            <w:szCs w:val="24"/>
            <w:u w:val="single"/>
            <w:lang w:eastAsia="pt-BR"/>
          </w:rPr>
          <w:t>104</w:t>
        </w:r>
      </w:hyperlink>
      <w:r w:rsidRPr="002F4F5E">
        <w:rPr>
          <w:rFonts w:ascii="Times New Roman" w:eastAsia="Times New Roman" w:hAnsi="Times New Roman" w:cs="Times New Roman"/>
          <w:sz w:val="24"/>
          <w:szCs w:val="24"/>
          <w:lang w:eastAsia="pt-BR"/>
        </w:rPr>
        <w:t xml:space="preserve"> do </w:t>
      </w:r>
      <w:hyperlink r:id="rId31" w:tooltip="LEI No 10.406, DE 10 DE JANEIRO DE 2002." w:history="1">
        <w:r w:rsidRPr="002F4F5E">
          <w:rPr>
            <w:rFonts w:ascii="Times New Roman" w:eastAsia="Times New Roman" w:hAnsi="Times New Roman" w:cs="Times New Roman"/>
            <w:color w:val="0000FF"/>
            <w:sz w:val="24"/>
            <w:szCs w:val="24"/>
            <w:u w:val="single"/>
            <w:lang w:eastAsia="pt-BR"/>
          </w:rPr>
          <w:t>CC/2002</w:t>
        </w:r>
      </w:hyperlink>
      <w:r w:rsidRPr="002F4F5E">
        <w:rPr>
          <w:rFonts w:ascii="Times New Roman" w:eastAsia="Times New Roman" w:hAnsi="Times New Roman" w:cs="Times New Roman"/>
          <w:sz w:val="24"/>
          <w:szCs w:val="24"/>
          <w:lang w:eastAsia="pt-BR"/>
        </w:rPr>
        <w:t>, a saber: partes capazes; vontade livre; objeto lícito, possível, determinado ou determinável; forma prescrita ou não defesa em lei. Por fim, no plano da eficácia, estão as consequências do negócio jurídico, elementos relacionados com os seus efeitos (condição, termo, encargo, inadimplemento, juros, multa, perdas e danos, entre outros).</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Relativamente a esses três planos e à aplicação das normas jurídicas no tempo, estabelece o importante art. </w:t>
      </w:r>
      <w:hyperlink r:id="rId32" w:tooltip="Artigo 2035 da Lei nº 10.406 de 10 de Janeiro de 2002" w:history="1">
        <w:r w:rsidRPr="002F4F5E">
          <w:rPr>
            <w:rFonts w:ascii="Times New Roman" w:eastAsia="Times New Roman" w:hAnsi="Times New Roman" w:cs="Times New Roman"/>
            <w:color w:val="0000FF"/>
            <w:sz w:val="24"/>
            <w:szCs w:val="24"/>
            <w:u w:val="single"/>
            <w:lang w:eastAsia="pt-BR"/>
          </w:rPr>
          <w:t>2.035</w:t>
        </w:r>
      </w:hyperlink>
      <w:r w:rsidRPr="002F4F5E">
        <w:rPr>
          <w:rFonts w:ascii="Times New Roman" w:eastAsia="Times New Roman" w:hAnsi="Times New Roman" w:cs="Times New Roman"/>
          <w:sz w:val="24"/>
          <w:szCs w:val="24"/>
          <w:lang w:eastAsia="pt-BR"/>
        </w:rPr>
        <w:t xml:space="preserve">, </w:t>
      </w:r>
      <w:r w:rsidRPr="002F4F5E">
        <w:rPr>
          <w:rFonts w:ascii="Times New Roman" w:eastAsia="Times New Roman" w:hAnsi="Times New Roman" w:cs="Times New Roman"/>
          <w:i/>
          <w:iCs/>
          <w:sz w:val="24"/>
          <w:szCs w:val="24"/>
          <w:lang w:eastAsia="pt-BR"/>
        </w:rPr>
        <w:t xml:space="preserve">caput, </w:t>
      </w:r>
      <w:r w:rsidRPr="002F4F5E">
        <w:rPr>
          <w:rFonts w:ascii="Times New Roman" w:eastAsia="Times New Roman" w:hAnsi="Times New Roman" w:cs="Times New Roman"/>
          <w:sz w:val="24"/>
          <w:szCs w:val="24"/>
          <w:lang w:eastAsia="pt-BR"/>
        </w:rPr>
        <w:t xml:space="preserve">do </w:t>
      </w:r>
      <w:hyperlink r:id="rId33" w:tooltip="LEI No 10.406, DE 10 DE JANEIRO DE 2002." w:history="1">
        <w:r w:rsidRPr="002F4F5E">
          <w:rPr>
            <w:rFonts w:ascii="Times New Roman" w:eastAsia="Times New Roman" w:hAnsi="Times New Roman" w:cs="Times New Roman"/>
            <w:color w:val="0000FF"/>
            <w:sz w:val="24"/>
            <w:szCs w:val="24"/>
            <w:u w:val="single"/>
            <w:lang w:eastAsia="pt-BR"/>
          </w:rPr>
          <w:t>Código Civil</w:t>
        </w:r>
      </w:hyperlink>
      <w:r w:rsidRPr="002F4F5E">
        <w:rPr>
          <w:rFonts w:ascii="Times New Roman" w:eastAsia="Times New Roman" w:hAnsi="Times New Roman" w:cs="Times New Roman"/>
          <w:sz w:val="24"/>
          <w:szCs w:val="24"/>
          <w:lang w:eastAsia="pt-BR"/>
        </w:rPr>
        <w:t xml:space="preserve"> em vigor: “A validade dos negócios e demais atos jurídicos, constituídos antes da entrada em vigor deste Código, obedece ao disposto nas leis anteriores, referidas no art. </w:t>
      </w:r>
      <w:hyperlink r:id="rId34" w:tooltip="Artigo 2045 da Lei nº 10.406 de 10 de Janeiro de 2002" w:history="1">
        <w:r w:rsidRPr="002F4F5E">
          <w:rPr>
            <w:rFonts w:ascii="Times New Roman" w:eastAsia="Times New Roman" w:hAnsi="Times New Roman" w:cs="Times New Roman"/>
            <w:color w:val="0000FF"/>
            <w:sz w:val="24"/>
            <w:szCs w:val="24"/>
            <w:u w:val="single"/>
            <w:lang w:eastAsia="pt-BR"/>
          </w:rPr>
          <w:t>2.045</w:t>
        </w:r>
      </w:hyperlink>
      <w:r w:rsidRPr="002F4F5E">
        <w:rPr>
          <w:rFonts w:ascii="Times New Roman" w:eastAsia="Times New Roman" w:hAnsi="Times New Roman" w:cs="Times New Roman"/>
          <w:sz w:val="24"/>
          <w:szCs w:val="24"/>
          <w:lang w:eastAsia="pt-BR"/>
        </w:rPr>
        <w:t>, mas os seus efeitos, produzidos após a vigência deste Código, aos preceitos dele se subordinam, salvo se houver sido prevista pelas partes determinada forma de execução”.</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Em resumo, o que o dispositivo legal está estabelecendo é que, quanto aos planos da existência e da validade (o primeiro está dentro do segundo), devem ser aplicadas as normas do momento da </w:t>
      </w:r>
      <w:hyperlink r:id="rId35" w:tooltip="CONSTITUIÇÃO DA REPÚBLICA FEDERATIVA DO BRASIL DE 1988" w:history="1">
        <w:r w:rsidRPr="002F4F5E">
          <w:rPr>
            <w:rFonts w:ascii="Times New Roman" w:eastAsia="Times New Roman" w:hAnsi="Times New Roman" w:cs="Times New Roman"/>
            <w:color w:val="0000FF"/>
            <w:sz w:val="24"/>
            <w:szCs w:val="24"/>
            <w:u w:val="single"/>
            <w:lang w:eastAsia="pt-BR"/>
          </w:rPr>
          <w:t>constituição</w:t>
        </w:r>
      </w:hyperlink>
      <w:r w:rsidRPr="002F4F5E">
        <w:rPr>
          <w:rFonts w:ascii="Times New Roman" w:eastAsia="Times New Roman" w:hAnsi="Times New Roman" w:cs="Times New Roman"/>
          <w:sz w:val="24"/>
          <w:szCs w:val="24"/>
          <w:lang w:eastAsia="pt-BR"/>
        </w:rPr>
        <w:t xml:space="preserve"> ou celebração do negócio. No tocante ao plano da eficácia, devem incidir as normas do momento dos efeitos.</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O regime de bens, por razões claras e lógicas, situa-se no plano da eficácia, pois diz respeito às consequências práticas do casamento, à modificação ou extinção de direitos. Ademais, a existência ou a validade do casamento não depende do regime de bens adotado. Em complemento, é notório que, não havendo adoção por qualquer regime, prevalecerá o regime legal ou supletório, qual seja, o da comunhão parcial de bens (art. </w:t>
      </w:r>
      <w:hyperlink r:id="rId36" w:tooltip="Artigo 1640 da Lei nº 10.406 de 10 de Janeiro de 2002" w:history="1">
        <w:r w:rsidRPr="002F4F5E">
          <w:rPr>
            <w:rFonts w:ascii="Times New Roman" w:eastAsia="Times New Roman" w:hAnsi="Times New Roman" w:cs="Times New Roman"/>
            <w:color w:val="0000FF"/>
            <w:sz w:val="24"/>
            <w:szCs w:val="24"/>
            <w:u w:val="single"/>
            <w:lang w:eastAsia="pt-BR"/>
          </w:rPr>
          <w:t>1.640</w:t>
        </w:r>
      </w:hyperlink>
      <w:r w:rsidRPr="002F4F5E">
        <w:rPr>
          <w:rFonts w:ascii="Times New Roman" w:eastAsia="Times New Roman" w:hAnsi="Times New Roman" w:cs="Times New Roman"/>
          <w:sz w:val="24"/>
          <w:szCs w:val="24"/>
          <w:lang w:eastAsia="pt-BR"/>
        </w:rPr>
        <w:t xml:space="preserve"> do </w:t>
      </w:r>
      <w:hyperlink r:id="rId37" w:tooltip="LEI No 10.406, DE 10 DE JANEIRO DE 2002." w:history="1">
        <w:r w:rsidRPr="002F4F5E">
          <w:rPr>
            <w:rFonts w:ascii="Times New Roman" w:eastAsia="Times New Roman" w:hAnsi="Times New Roman" w:cs="Times New Roman"/>
            <w:color w:val="0000FF"/>
            <w:sz w:val="24"/>
            <w:szCs w:val="24"/>
            <w:u w:val="single"/>
            <w:lang w:eastAsia="pt-BR"/>
          </w:rPr>
          <w:t>Código Civil</w:t>
        </w:r>
      </w:hyperlink>
      <w:r w:rsidRPr="002F4F5E">
        <w:rPr>
          <w:rFonts w:ascii="Times New Roman" w:eastAsia="Times New Roman" w:hAnsi="Times New Roman" w:cs="Times New Roman"/>
          <w:sz w:val="24"/>
          <w:szCs w:val="24"/>
          <w:lang w:eastAsia="pt-BR"/>
        </w:rPr>
        <w:t>).</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Diante dessas premissas, entendeu o Tribunal da Cidadania, em conhecido precedente, que “apresenta-se razoável, </w:t>
      </w:r>
      <w:r w:rsidRPr="002F4F5E">
        <w:rPr>
          <w:rFonts w:ascii="Times New Roman" w:eastAsia="Times New Roman" w:hAnsi="Times New Roman" w:cs="Times New Roman"/>
          <w:i/>
          <w:iCs/>
          <w:sz w:val="24"/>
          <w:szCs w:val="24"/>
          <w:lang w:eastAsia="pt-BR"/>
        </w:rPr>
        <w:t>in casu</w:t>
      </w:r>
      <w:r w:rsidRPr="002F4F5E">
        <w:rPr>
          <w:rFonts w:ascii="Times New Roman" w:eastAsia="Times New Roman" w:hAnsi="Times New Roman" w:cs="Times New Roman"/>
          <w:sz w:val="24"/>
          <w:szCs w:val="24"/>
          <w:lang w:eastAsia="pt-BR"/>
        </w:rPr>
        <w:t xml:space="preserve">, não considerar o art. </w:t>
      </w:r>
      <w:hyperlink r:id="rId38" w:tooltip="Artigo 2039 da Lei nº 10.406 de 10 de Janeiro de 2002" w:history="1">
        <w:r w:rsidRPr="002F4F5E">
          <w:rPr>
            <w:rFonts w:ascii="Times New Roman" w:eastAsia="Times New Roman" w:hAnsi="Times New Roman" w:cs="Times New Roman"/>
            <w:color w:val="0000FF"/>
            <w:sz w:val="24"/>
            <w:szCs w:val="24"/>
            <w:u w:val="single"/>
            <w:lang w:eastAsia="pt-BR"/>
          </w:rPr>
          <w:t>2.039</w:t>
        </w:r>
      </w:hyperlink>
      <w:r w:rsidRPr="002F4F5E">
        <w:rPr>
          <w:rFonts w:ascii="Times New Roman" w:eastAsia="Times New Roman" w:hAnsi="Times New Roman" w:cs="Times New Roman"/>
          <w:sz w:val="24"/>
          <w:szCs w:val="24"/>
          <w:lang w:eastAsia="pt-BR"/>
        </w:rPr>
        <w:t xml:space="preserve"> do </w:t>
      </w:r>
      <w:hyperlink r:id="rId39" w:tooltip="LEI No 10.406, DE 10 DE JANEIRO DE 2002." w:history="1">
        <w:r w:rsidRPr="002F4F5E">
          <w:rPr>
            <w:rFonts w:ascii="Times New Roman" w:eastAsia="Times New Roman" w:hAnsi="Times New Roman" w:cs="Times New Roman"/>
            <w:color w:val="0000FF"/>
            <w:sz w:val="24"/>
            <w:szCs w:val="24"/>
            <w:u w:val="single"/>
            <w:lang w:eastAsia="pt-BR"/>
          </w:rPr>
          <w:t>CC/2002</w:t>
        </w:r>
      </w:hyperlink>
      <w:r w:rsidRPr="002F4F5E">
        <w:rPr>
          <w:rFonts w:ascii="Times New Roman" w:eastAsia="Times New Roman" w:hAnsi="Times New Roman" w:cs="Times New Roman"/>
          <w:sz w:val="24"/>
          <w:szCs w:val="24"/>
          <w:lang w:eastAsia="pt-BR"/>
        </w:rPr>
        <w:t xml:space="preserve"> como óbice à aplicação de norma geral, constante do art. </w:t>
      </w:r>
      <w:hyperlink r:id="rId40" w:tooltip="Artigo 1639 da Lei nº 10.406 de 10 de Janeiro de 2002" w:history="1">
        <w:r w:rsidRPr="002F4F5E">
          <w:rPr>
            <w:rFonts w:ascii="Times New Roman" w:eastAsia="Times New Roman" w:hAnsi="Times New Roman" w:cs="Times New Roman"/>
            <w:color w:val="0000FF"/>
            <w:sz w:val="24"/>
            <w:szCs w:val="24"/>
            <w:u w:val="single"/>
            <w:lang w:eastAsia="pt-BR"/>
          </w:rPr>
          <w:t>1.639</w:t>
        </w:r>
      </w:hyperlink>
      <w:r w:rsidRPr="002F4F5E">
        <w:rPr>
          <w:rFonts w:ascii="Times New Roman" w:eastAsia="Times New Roman" w:hAnsi="Times New Roman" w:cs="Times New Roman"/>
          <w:sz w:val="24"/>
          <w:szCs w:val="24"/>
          <w:lang w:eastAsia="pt-BR"/>
        </w:rPr>
        <w:t xml:space="preserve">, </w:t>
      </w:r>
      <w:hyperlink r:id="rId41" w:tooltip="Parágrafo 2 Artigo 1639 da Lei nº 10.406 de 10 de Janeiro de 2002" w:history="1">
        <w:r w:rsidRPr="002F4F5E">
          <w:rPr>
            <w:rFonts w:ascii="Times New Roman" w:eastAsia="Times New Roman" w:hAnsi="Times New Roman" w:cs="Times New Roman"/>
            <w:color w:val="0000FF"/>
            <w:sz w:val="24"/>
            <w:szCs w:val="24"/>
            <w:u w:val="single"/>
            <w:lang w:eastAsia="pt-BR"/>
          </w:rPr>
          <w:t>§ 2º</w:t>
        </w:r>
      </w:hyperlink>
      <w:r w:rsidRPr="002F4F5E">
        <w:rPr>
          <w:rFonts w:ascii="Times New Roman" w:eastAsia="Times New Roman" w:hAnsi="Times New Roman" w:cs="Times New Roman"/>
          <w:sz w:val="24"/>
          <w:szCs w:val="24"/>
          <w:lang w:eastAsia="pt-BR"/>
        </w:rPr>
        <w:t xml:space="preserve">, do </w:t>
      </w:r>
      <w:hyperlink r:id="rId42" w:tooltip="LEI No 10.406, DE 10 DE JANEIRO DE 2002." w:history="1">
        <w:r w:rsidRPr="002F4F5E">
          <w:rPr>
            <w:rFonts w:ascii="Times New Roman" w:eastAsia="Times New Roman" w:hAnsi="Times New Roman" w:cs="Times New Roman"/>
            <w:color w:val="0000FF"/>
            <w:sz w:val="24"/>
            <w:szCs w:val="24"/>
            <w:u w:val="single"/>
            <w:lang w:eastAsia="pt-BR"/>
          </w:rPr>
          <w:t>CC/2002</w:t>
        </w:r>
      </w:hyperlink>
      <w:r w:rsidRPr="002F4F5E">
        <w:rPr>
          <w:rFonts w:ascii="Times New Roman" w:eastAsia="Times New Roman" w:hAnsi="Times New Roman" w:cs="Times New Roman"/>
          <w:sz w:val="24"/>
          <w:szCs w:val="24"/>
          <w:lang w:eastAsia="pt-BR"/>
        </w:rPr>
        <w:t xml:space="preserve">, concernente à alteração incidental de regime de bens nos casamentos ocorridos sob a égide do </w:t>
      </w:r>
      <w:r w:rsidRPr="002F4F5E">
        <w:rPr>
          <w:rFonts w:ascii="Times New Roman" w:eastAsia="Times New Roman" w:hAnsi="Times New Roman" w:cs="Times New Roman"/>
          <w:sz w:val="24"/>
          <w:szCs w:val="24"/>
          <w:lang w:eastAsia="pt-BR"/>
        </w:rPr>
        <w:lastRenderedPageBreak/>
        <w:t xml:space="preserve">CC/1916, desde que ressalvados os direitos de terceiros e apuradas as razões invocadas pelos cônjuges para tal pedido, não havendo que se falar em retroatividade legal, vedada nos termos do art. </w:t>
      </w:r>
      <w:hyperlink r:id="rId43" w:tooltip="Artigo 5 da Lei nº 10.406 de 10 de Janeiro de 2002" w:history="1">
        <w:r w:rsidRPr="002F4F5E">
          <w:rPr>
            <w:rFonts w:ascii="Times New Roman" w:eastAsia="Times New Roman" w:hAnsi="Times New Roman" w:cs="Times New Roman"/>
            <w:color w:val="0000FF"/>
            <w:sz w:val="24"/>
            <w:szCs w:val="24"/>
            <w:u w:val="single"/>
            <w:lang w:eastAsia="pt-BR"/>
          </w:rPr>
          <w:t>5º</w:t>
        </w:r>
      </w:hyperlink>
      <w:r w:rsidRPr="002F4F5E">
        <w:rPr>
          <w:rFonts w:ascii="Times New Roman" w:eastAsia="Times New Roman" w:hAnsi="Times New Roman" w:cs="Times New Roman"/>
          <w:sz w:val="24"/>
          <w:szCs w:val="24"/>
          <w:lang w:eastAsia="pt-BR"/>
        </w:rPr>
        <w:t xml:space="preserve">, XXXVI, da CF/1988, mas, ao revés, nos termos do art. </w:t>
      </w:r>
      <w:hyperlink r:id="rId44" w:tooltip="Artigo 2035 da Lei nº 10.406 de 10 de Janeiro de 2002" w:history="1">
        <w:r w:rsidRPr="002F4F5E">
          <w:rPr>
            <w:rFonts w:ascii="Times New Roman" w:eastAsia="Times New Roman" w:hAnsi="Times New Roman" w:cs="Times New Roman"/>
            <w:color w:val="0000FF"/>
            <w:sz w:val="24"/>
            <w:szCs w:val="24"/>
            <w:u w:val="single"/>
            <w:lang w:eastAsia="pt-BR"/>
          </w:rPr>
          <w:t>2.035</w:t>
        </w:r>
      </w:hyperlink>
      <w:r w:rsidRPr="002F4F5E">
        <w:rPr>
          <w:rFonts w:ascii="Times New Roman" w:eastAsia="Times New Roman" w:hAnsi="Times New Roman" w:cs="Times New Roman"/>
          <w:sz w:val="24"/>
          <w:szCs w:val="24"/>
          <w:lang w:eastAsia="pt-BR"/>
        </w:rPr>
        <w:t xml:space="preserve"> do </w:t>
      </w:r>
      <w:hyperlink r:id="rId45" w:tooltip="LEI No 10.406, DE 10 DE JANEIRO DE 2002." w:history="1">
        <w:r w:rsidRPr="002F4F5E">
          <w:rPr>
            <w:rFonts w:ascii="Times New Roman" w:eastAsia="Times New Roman" w:hAnsi="Times New Roman" w:cs="Times New Roman"/>
            <w:color w:val="0000FF"/>
            <w:sz w:val="24"/>
            <w:szCs w:val="24"/>
            <w:u w:val="single"/>
            <w:lang w:eastAsia="pt-BR"/>
          </w:rPr>
          <w:t>CC/2002</w:t>
        </w:r>
      </w:hyperlink>
      <w:r w:rsidRPr="002F4F5E">
        <w:rPr>
          <w:rFonts w:ascii="Times New Roman" w:eastAsia="Times New Roman" w:hAnsi="Times New Roman" w:cs="Times New Roman"/>
          <w:sz w:val="24"/>
          <w:szCs w:val="24"/>
          <w:lang w:eastAsia="pt-BR"/>
        </w:rPr>
        <w:t xml:space="preserve">, em aplicação de norma geral com efeitos imediatos” (STJ, REsp 730.546/MG, Quarta Turma, Rel. Min. Jorge Scartezzini, j. 23.08.2005, </w:t>
      </w:r>
      <w:r w:rsidRPr="002F4F5E">
        <w:rPr>
          <w:rFonts w:ascii="Times New Roman" w:eastAsia="Times New Roman" w:hAnsi="Times New Roman" w:cs="Times New Roman"/>
          <w:i/>
          <w:iCs/>
          <w:sz w:val="24"/>
          <w:szCs w:val="24"/>
          <w:lang w:eastAsia="pt-BR"/>
        </w:rPr>
        <w:t>DJ</w:t>
      </w:r>
      <w:r w:rsidRPr="002F4F5E">
        <w:rPr>
          <w:rFonts w:ascii="Times New Roman" w:eastAsia="Times New Roman" w:hAnsi="Times New Roman" w:cs="Times New Roman"/>
          <w:sz w:val="24"/>
          <w:szCs w:val="24"/>
          <w:lang w:eastAsia="pt-BR"/>
        </w:rPr>
        <w:t xml:space="preserve"> 03.10.2005, p. 279). Sucessivamente, outros julgados surgiram na mesma esteira desse julgamento, estando a questão consolidada em nossa jurisprudência (por todos: STJ, REsp 1.112.123/DF, Terceira Turma, Rel. Min. Sidnei Beneti, j. 16.06.2009, </w:t>
      </w:r>
      <w:r w:rsidRPr="002F4F5E">
        <w:rPr>
          <w:rFonts w:ascii="Times New Roman" w:eastAsia="Times New Roman" w:hAnsi="Times New Roman" w:cs="Times New Roman"/>
          <w:i/>
          <w:iCs/>
          <w:sz w:val="24"/>
          <w:szCs w:val="24"/>
          <w:lang w:eastAsia="pt-BR"/>
        </w:rPr>
        <w:t>DJE</w:t>
      </w:r>
      <w:r w:rsidRPr="002F4F5E">
        <w:rPr>
          <w:rFonts w:ascii="Times New Roman" w:eastAsia="Times New Roman" w:hAnsi="Times New Roman" w:cs="Times New Roman"/>
          <w:sz w:val="24"/>
          <w:szCs w:val="24"/>
          <w:lang w:eastAsia="pt-BR"/>
        </w:rPr>
        <w:t xml:space="preserve"> 13.08.2009; TJRS, Apelação Cível n. 383376-78.2012.8.21.7000, Bagé, Oitava Câmara Cível, Rel. Des. Luiz Felipe Brasil Santos, j. 29.11.2012, </w:t>
      </w:r>
      <w:r w:rsidRPr="002F4F5E">
        <w:rPr>
          <w:rFonts w:ascii="Times New Roman" w:eastAsia="Times New Roman" w:hAnsi="Times New Roman" w:cs="Times New Roman"/>
          <w:i/>
          <w:iCs/>
          <w:sz w:val="24"/>
          <w:szCs w:val="24"/>
          <w:lang w:eastAsia="pt-BR"/>
        </w:rPr>
        <w:t>DJERS</w:t>
      </w:r>
      <w:r w:rsidRPr="002F4F5E">
        <w:rPr>
          <w:rFonts w:ascii="Times New Roman" w:eastAsia="Times New Roman" w:hAnsi="Times New Roman" w:cs="Times New Roman"/>
          <w:sz w:val="24"/>
          <w:szCs w:val="24"/>
          <w:lang w:eastAsia="pt-BR"/>
        </w:rPr>
        <w:t xml:space="preserve"> 05.12.2012; TJSP, Apelação n. 9102946-53.2007.8.26.0000, Acórdão n. 5628185, São Paulo, Quarta Câmara de Direito Privado, Rel. Des. Fábio Quadros, j. 17.11.2011, </w:t>
      </w:r>
      <w:r w:rsidRPr="002F4F5E">
        <w:rPr>
          <w:rFonts w:ascii="Times New Roman" w:eastAsia="Times New Roman" w:hAnsi="Times New Roman" w:cs="Times New Roman"/>
          <w:i/>
          <w:iCs/>
          <w:sz w:val="24"/>
          <w:szCs w:val="24"/>
          <w:lang w:eastAsia="pt-BR"/>
        </w:rPr>
        <w:t>DJESP</w:t>
      </w:r>
      <w:r w:rsidRPr="002F4F5E">
        <w:rPr>
          <w:rFonts w:ascii="Times New Roman" w:eastAsia="Times New Roman" w:hAnsi="Times New Roman" w:cs="Times New Roman"/>
          <w:sz w:val="24"/>
          <w:szCs w:val="24"/>
          <w:lang w:eastAsia="pt-BR"/>
        </w:rPr>
        <w:t xml:space="preserve"> 24.01.2012; TJPR, Apelação Cível n. 0413965-9, Astorga, Décima Primeira Câmara Cível, Rel. Des. Mário Rau, </w:t>
      </w:r>
      <w:r w:rsidRPr="002F4F5E">
        <w:rPr>
          <w:rFonts w:ascii="Times New Roman" w:eastAsia="Times New Roman" w:hAnsi="Times New Roman" w:cs="Times New Roman"/>
          <w:i/>
          <w:iCs/>
          <w:sz w:val="24"/>
          <w:szCs w:val="24"/>
          <w:lang w:eastAsia="pt-BR"/>
        </w:rPr>
        <w:t>DJPR</w:t>
      </w:r>
      <w:r w:rsidRPr="002F4F5E">
        <w:rPr>
          <w:rFonts w:ascii="Times New Roman" w:eastAsia="Times New Roman" w:hAnsi="Times New Roman" w:cs="Times New Roman"/>
          <w:sz w:val="24"/>
          <w:szCs w:val="24"/>
          <w:lang w:eastAsia="pt-BR"/>
        </w:rPr>
        <w:t xml:space="preserve"> 28.03.2008, p. 110; TJMG, Apelação Cível n. 1.0439.06.053252-0/001, Muriaé, Sétima Câmara Cível, Rel. Des. Antônio Marcos Alvim Soares, j. 06.03.2007, </w:t>
      </w:r>
      <w:r w:rsidRPr="002F4F5E">
        <w:rPr>
          <w:rFonts w:ascii="Times New Roman" w:eastAsia="Times New Roman" w:hAnsi="Times New Roman" w:cs="Times New Roman"/>
          <w:i/>
          <w:iCs/>
          <w:sz w:val="24"/>
          <w:szCs w:val="24"/>
          <w:lang w:eastAsia="pt-BR"/>
        </w:rPr>
        <w:t>DJMG</w:t>
      </w:r>
      <w:r w:rsidRPr="002F4F5E">
        <w:rPr>
          <w:rFonts w:ascii="Times New Roman" w:eastAsia="Times New Roman" w:hAnsi="Times New Roman" w:cs="Times New Roman"/>
          <w:sz w:val="24"/>
          <w:szCs w:val="24"/>
          <w:lang w:eastAsia="pt-BR"/>
        </w:rPr>
        <w:t xml:space="preserve"> 04.05.2007; e TJRJ, Apelação Cível n. 2007.001.08400, Quinta Câmara Cível, Rel. Des. Milton Fernandes de Souza, j. 27.03.2007).</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Cumpre esclarecer, por oportuno, que esse entendimento jurisprudencial já tinha amparo doutrinário no Enunciado 260, aprovado na III Jornada de Direito Civil, realizada em 2004, nos seguintes termos: “A alteração do regime de bens prevista no </w:t>
      </w:r>
      <w:hyperlink r:id="rId46" w:tooltip="Parágrafo 2 Artigo 1639 da Lei nº 10.406 de 10 de Janeiro de 2002" w:history="1">
        <w:r w:rsidRPr="002F4F5E">
          <w:rPr>
            <w:rFonts w:ascii="Times New Roman" w:eastAsia="Times New Roman" w:hAnsi="Times New Roman" w:cs="Times New Roman"/>
            <w:color w:val="0000FF"/>
            <w:sz w:val="24"/>
            <w:szCs w:val="24"/>
            <w:u w:val="single"/>
            <w:lang w:eastAsia="pt-BR"/>
          </w:rPr>
          <w:t>§ 2º</w:t>
        </w:r>
      </w:hyperlink>
      <w:r w:rsidRPr="002F4F5E">
        <w:rPr>
          <w:rFonts w:ascii="Times New Roman" w:eastAsia="Times New Roman" w:hAnsi="Times New Roman" w:cs="Times New Roman"/>
          <w:sz w:val="24"/>
          <w:szCs w:val="24"/>
          <w:lang w:eastAsia="pt-BR"/>
        </w:rPr>
        <w:t xml:space="preserve"> do art. </w:t>
      </w:r>
      <w:hyperlink r:id="rId47" w:tooltip="Artigo 1639 da Lei nº 10.406 de 10 de Janeiro de 2002" w:history="1">
        <w:r w:rsidRPr="002F4F5E">
          <w:rPr>
            <w:rFonts w:ascii="Times New Roman" w:eastAsia="Times New Roman" w:hAnsi="Times New Roman" w:cs="Times New Roman"/>
            <w:color w:val="0000FF"/>
            <w:sz w:val="24"/>
            <w:szCs w:val="24"/>
            <w:u w:val="single"/>
            <w:lang w:eastAsia="pt-BR"/>
          </w:rPr>
          <w:t>1.639</w:t>
        </w:r>
      </w:hyperlink>
      <w:r w:rsidRPr="002F4F5E">
        <w:rPr>
          <w:rFonts w:ascii="Times New Roman" w:eastAsia="Times New Roman" w:hAnsi="Times New Roman" w:cs="Times New Roman"/>
          <w:sz w:val="24"/>
          <w:szCs w:val="24"/>
          <w:lang w:eastAsia="pt-BR"/>
        </w:rPr>
        <w:t xml:space="preserve"> do </w:t>
      </w:r>
      <w:hyperlink r:id="rId48" w:tooltip="LEI No 10.406, DE 10 DE JANEIRO DE 2002." w:history="1">
        <w:r w:rsidRPr="002F4F5E">
          <w:rPr>
            <w:rFonts w:ascii="Times New Roman" w:eastAsia="Times New Roman" w:hAnsi="Times New Roman" w:cs="Times New Roman"/>
            <w:color w:val="0000FF"/>
            <w:sz w:val="24"/>
            <w:szCs w:val="24"/>
            <w:u w:val="single"/>
            <w:lang w:eastAsia="pt-BR"/>
          </w:rPr>
          <w:t>Código Civil</w:t>
        </w:r>
      </w:hyperlink>
      <w:r w:rsidRPr="002F4F5E">
        <w:rPr>
          <w:rFonts w:ascii="Times New Roman" w:eastAsia="Times New Roman" w:hAnsi="Times New Roman" w:cs="Times New Roman"/>
          <w:sz w:val="24"/>
          <w:szCs w:val="24"/>
          <w:lang w:eastAsia="pt-BR"/>
        </w:rPr>
        <w:t xml:space="preserve"> também é permitida nos casamentos realizados na vigência da legislação anterior”. Em suma, essa é a posição majoritária da doutrina e da jurisprudência brasileiras, que vem ser integralmente mantidas na vigência do Estatuto Processual emergente.</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Voltando aos preceitos do </w:t>
      </w:r>
      <w:hyperlink r:id="rId49" w:tooltip="LEI Nº 13.105, DE 16 DE MARÇO DE 2015." w:history="1">
        <w:r w:rsidRPr="002F4F5E">
          <w:rPr>
            <w:rFonts w:ascii="Times New Roman" w:eastAsia="Times New Roman" w:hAnsi="Times New Roman" w:cs="Times New Roman"/>
            <w:color w:val="0000FF"/>
            <w:sz w:val="24"/>
            <w:szCs w:val="24"/>
            <w:u w:val="single"/>
            <w:lang w:eastAsia="pt-BR"/>
          </w:rPr>
          <w:t>Novo CPC</w:t>
        </w:r>
      </w:hyperlink>
      <w:r w:rsidRPr="002F4F5E">
        <w:rPr>
          <w:rFonts w:ascii="Times New Roman" w:eastAsia="Times New Roman" w:hAnsi="Times New Roman" w:cs="Times New Roman"/>
          <w:sz w:val="24"/>
          <w:szCs w:val="24"/>
          <w:lang w:eastAsia="pt-BR"/>
        </w:rPr>
        <w:t xml:space="preserve">, conforme o </w:t>
      </w:r>
      <w:hyperlink r:id="rId50" w:tooltip="Parágrafo 2 Artigo 734 da Lei nº 13.105 de 16 de Março de 2015" w:history="1">
        <w:r w:rsidRPr="002F4F5E">
          <w:rPr>
            <w:rFonts w:ascii="Times New Roman" w:eastAsia="Times New Roman" w:hAnsi="Times New Roman" w:cs="Times New Roman"/>
            <w:color w:val="0000FF"/>
            <w:sz w:val="24"/>
            <w:szCs w:val="24"/>
            <w:u w:val="single"/>
            <w:lang w:eastAsia="pt-BR"/>
          </w:rPr>
          <w:t>§ 2º</w:t>
        </w:r>
      </w:hyperlink>
      <w:r w:rsidRPr="002F4F5E">
        <w:rPr>
          <w:rFonts w:ascii="Times New Roman" w:eastAsia="Times New Roman" w:hAnsi="Times New Roman" w:cs="Times New Roman"/>
          <w:sz w:val="24"/>
          <w:szCs w:val="24"/>
          <w:lang w:eastAsia="pt-BR"/>
        </w:rPr>
        <w:t xml:space="preserve"> do art. </w:t>
      </w:r>
      <w:hyperlink r:id="rId51" w:tooltip="Artigo 734 da Lei nº 13.105 de 16 de Março de 2015" w:history="1">
        <w:r w:rsidRPr="002F4F5E">
          <w:rPr>
            <w:rFonts w:ascii="Times New Roman" w:eastAsia="Times New Roman" w:hAnsi="Times New Roman" w:cs="Times New Roman"/>
            <w:color w:val="0000FF"/>
            <w:sz w:val="24"/>
            <w:szCs w:val="24"/>
            <w:u w:val="single"/>
            <w:lang w:eastAsia="pt-BR"/>
          </w:rPr>
          <w:t>734</w:t>
        </w:r>
      </w:hyperlink>
      <w:r w:rsidRPr="002F4F5E">
        <w:rPr>
          <w:rFonts w:ascii="Times New Roman" w:eastAsia="Times New Roman" w:hAnsi="Times New Roman" w:cs="Times New Roman"/>
          <w:sz w:val="24"/>
          <w:szCs w:val="24"/>
          <w:lang w:eastAsia="pt-BR"/>
        </w:rPr>
        <w:t xml:space="preserve">, os cônjuges, na petição inicial ou em petição avulsa, podem propor ao juiz meio alternativo de divulgação da alteração do regime de bens, a fim de resguardar direitos de terceiros. Assim, por exemplo, não obsta a divulgação da alteração em um jornal local ou em um sítio da internet. Mais uma vez, há, na opinião deste autor, uma preocupação excessiva com a fraude, na contramão da doutrina e da jurisprudência construídas sob a égide do </w:t>
      </w:r>
      <w:hyperlink r:id="rId52" w:tooltip="LEI No 10.406, DE 10 DE JANEIRO DE 2002." w:history="1">
        <w:r w:rsidRPr="002F4F5E">
          <w:rPr>
            <w:rFonts w:ascii="Times New Roman" w:eastAsia="Times New Roman" w:hAnsi="Times New Roman" w:cs="Times New Roman"/>
            <w:color w:val="0000FF"/>
            <w:sz w:val="24"/>
            <w:szCs w:val="24"/>
            <w:u w:val="single"/>
            <w:lang w:eastAsia="pt-BR"/>
          </w:rPr>
          <w:t>Código Civil de 2002</w:t>
        </w:r>
      </w:hyperlink>
      <w:r w:rsidRPr="002F4F5E">
        <w:rPr>
          <w:rFonts w:ascii="Times New Roman" w:eastAsia="Times New Roman" w:hAnsi="Times New Roman" w:cs="Times New Roman"/>
          <w:sz w:val="24"/>
          <w:szCs w:val="24"/>
          <w:lang w:eastAsia="pt-BR"/>
        </w:rPr>
        <w:t>.</w: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 xml:space="preserve">Por fim, demonstrando a mesma preocupação, após o trânsito em julgado da sentença de alteração do regime de bens, serão expedidos mandados de averbação aos cartórios de registro civil e de imóveis. Nos termos do mesmo </w:t>
      </w:r>
      <w:hyperlink r:id="rId53" w:tooltip="Parágrafo 3 Artigo 734 da Lei nº 13.105 de 16 de Março de 2015" w:history="1">
        <w:r w:rsidRPr="002F4F5E">
          <w:rPr>
            <w:rFonts w:ascii="Times New Roman" w:eastAsia="Times New Roman" w:hAnsi="Times New Roman" w:cs="Times New Roman"/>
            <w:color w:val="0000FF"/>
            <w:sz w:val="24"/>
            <w:szCs w:val="24"/>
            <w:u w:val="single"/>
            <w:lang w:eastAsia="pt-BR"/>
          </w:rPr>
          <w:t>§ 3º</w:t>
        </w:r>
      </w:hyperlink>
      <w:r w:rsidRPr="002F4F5E">
        <w:rPr>
          <w:rFonts w:ascii="Times New Roman" w:eastAsia="Times New Roman" w:hAnsi="Times New Roman" w:cs="Times New Roman"/>
          <w:sz w:val="24"/>
          <w:szCs w:val="24"/>
          <w:lang w:eastAsia="pt-BR"/>
        </w:rPr>
        <w:t xml:space="preserve"> do art. </w:t>
      </w:r>
      <w:hyperlink r:id="rId54" w:tooltip="Artigo 734 da Lei nº 13.105 de 16 de Março de 2015" w:history="1">
        <w:r w:rsidRPr="002F4F5E">
          <w:rPr>
            <w:rFonts w:ascii="Times New Roman" w:eastAsia="Times New Roman" w:hAnsi="Times New Roman" w:cs="Times New Roman"/>
            <w:color w:val="0000FF"/>
            <w:sz w:val="24"/>
            <w:szCs w:val="24"/>
            <w:u w:val="single"/>
            <w:lang w:eastAsia="pt-BR"/>
          </w:rPr>
          <w:t>734</w:t>
        </w:r>
      </w:hyperlink>
      <w:r w:rsidRPr="002F4F5E">
        <w:rPr>
          <w:rFonts w:ascii="Times New Roman" w:eastAsia="Times New Roman" w:hAnsi="Times New Roman" w:cs="Times New Roman"/>
          <w:sz w:val="24"/>
          <w:szCs w:val="24"/>
          <w:lang w:eastAsia="pt-BR"/>
        </w:rPr>
        <w:t xml:space="preserve"> do </w:t>
      </w:r>
      <w:hyperlink r:id="rId55" w:tooltip="LEI Nº 13.105, DE 16 DE MARÇO DE 2015." w:history="1">
        <w:r w:rsidRPr="002F4F5E">
          <w:rPr>
            <w:rFonts w:ascii="Times New Roman" w:eastAsia="Times New Roman" w:hAnsi="Times New Roman" w:cs="Times New Roman"/>
            <w:color w:val="0000FF"/>
            <w:sz w:val="24"/>
            <w:szCs w:val="24"/>
            <w:u w:val="single"/>
            <w:lang w:eastAsia="pt-BR"/>
          </w:rPr>
          <w:t>CPC/2015</w:t>
        </w:r>
      </w:hyperlink>
      <w:r w:rsidRPr="002F4F5E">
        <w:rPr>
          <w:rFonts w:ascii="Times New Roman" w:eastAsia="Times New Roman" w:hAnsi="Times New Roman" w:cs="Times New Roman"/>
          <w:sz w:val="24"/>
          <w:szCs w:val="24"/>
          <w:lang w:eastAsia="pt-BR"/>
        </w:rPr>
        <w:t>, caso qualquer um dos cônjuges seja empresário, deve ser expedido também mandado de averbação ao registro público de empresas mercantis e atividades afins.</w:t>
      </w:r>
    </w:p>
    <w:p w:rsidR="002F4F5E" w:rsidRPr="002F4F5E" w:rsidRDefault="002F4F5E" w:rsidP="002F4F5E">
      <w:pPr>
        <w:spacing w:beforeAutospacing="1" w:after="100" w:afterAutospacing="1" w:line="240" w:lineRule="auto"/>
        <w:outlineLvl w:val="2"/>
        <w:rPr>
          <w:rFonts w:ascii="Times New Roman" w:eastAsia="Times New Roman" w:hAnsi="Times New Roman" w:cs="Times New Roman"/>
          <w:b/>
          <w:bCs/>
          <w:sz w:val="27"/>
          <w:szCs w:val="27"/>
          <w:lang w:eastAsia="pt-BR"/>
        </w:rPr>
      </w:pPr>
      <w:hyperlink r:id="rId56" w:tgtFrame="_blank" w:history="1">
        <w:r w:rsidRPr="002F4F5E">
          <w:rPr>
            <w:rFonts w:ascii="Times New Roman" w:eastAsia="Times New Roman" w:hAnsi="Times New Roman" w:cs="Times New Roman"/>
            <w:b/>
            <w:bCs/>
            <w:color w:val="0000FF"/>
            <w:sz w:val="27"/>
            <w:szCs w:val="27"/>
            <w:u w:val="single"/>
            <w:lang w:eastAsia="pt-BR"/>
          </w:rPr>
          <w:t>Veja aqui a Primeira Parte</w:t>
        </w:r>
      </w:hyperlink>
    </w:p>
    <w:p w:rsidR="002F4F5E" w:rsidRPr="002F4F5E" w:rsidRDefault="002F4F5E" w:rsidP="002F4F5E">
      <w:pPr>
        <w:spacing w:after="0"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pict>
          <v:rect id="_x0000_i1025" style="width:0;height:1.5pt" o:hralign="center" o:hrstd="t" o:hr="t" fillcolor="gray" stroked="f"/>
        </w:pict>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b/>
          <w:bCs/>
          <w:sz w:val="24"/>
          <w:szCs w:val="24"/>
          <w:lang w:eastAsia="pt-BR"/>
        </w:rPr>
        <w:t>[1]</w:t>
      </w:r>
      <w:r w:rsidRPr="002F4F5E">
        <w:rPr>
          <w:rFonts w:ascii="Times New Roman" w:eastAsia="Times New Roman" w:hAnsi="Times New Roman" w:cs="Times New Roman"/>
          <w:sz w:val="24"/>
          <w:szCs w:val="24"/>
          <w:lang w:eastAsia="pt-BR"/>
        </w:rPr>
        <w:t xml:space="preserve"> Doutor em Direito Civil pela USP. Professor do programa de mestrado e doutorado da FADISP – Faculdade Especializada em Direito. Professor dos cursos de graduação e pós-graduação </w:t>
      </w:r>
      <w:r w:rsidRPr="002F4F5E">
        <w:rPr>
          <w:rFonts w:ascii="Times New Roman" w:eastAsia="Times New Roman" w:hAnsi="Times New Roman" w:cs="Times New Roman"/>
          <w:i/>
          <w:iCs/>
          <w:sz w:val="24"/>
          <w:szCs w:val="24"/>
          <w:lang w:eastAsia="pt-BR"/>
        </w:rPr>
        <w:t>lato sensu</w:t>
      </w:r>
      <w:r w:rsidRPr="002F4F5E">
        <w:rPr>
          <w:rFonts w:ascii="Times New Roman" w:eastAsia="Times New Roman" w:hAnsi="Times New Roman" w:cs="Times New Roman"/>
          <w:sz w:val="24"/>
          <w:szCs w:val="24"/>
          <w:lang w:eastAsia="pt-BR"/>
        </w:rPr>
        <w:t xml:space="preserve"> em Direito Privado da EPD – Escola Paulista de Direito, sendo coordenador dos últimos. Professor da Rede LFG. Diretor nacional e estadual do IBDFAM – Instituto Brasileiro de Direito de Família. Advogado e consultor jurídico em São Paulo.</w:t>
      </w:r>
    </w:p>
    <w:p w:rsidR="002F4F5E" w:rsidRPr="002F4F5E" w:rsidRDefault="002F4F5E" w:rsidP="002F4F5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1899920" cy="1899920"/>
            <wp:effectExtent l="19050" t="0" r="5080" b="0"/>
            <wp:docPr id="2" name="Imagem 2" descr="Flávio Tartu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ávio Tartuce">
                      <a:hlinkClick r:id="rId8"/>
                    </pic:cNvPr>
                    <pic:cNvPicPr>
                      <a:picLocks noChangeAspect="1" noChangeArrowheads="1"/>
                    </pic:cNvPicPr>
                  </pic:nvPicPr>
                  <pic:blipFill>
                    <a:blip r:embed="rId57"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hyperlink r:id="rId58" w:history="1">
        <w:r w:rsidRPr="002F4F5E">
          <w:rPr>
            <w:rFonts w:ascii="Times New Roman" w:eastAsia="Times New Roman" w:hAnsi="Times New Roman" w:cs="Times New Roman"/>
            <w:b/>
            <w:bCs/>
            <w:color w:val="0000FF"/>
            <w:sz w:val="24"/>
            <w:szCs w:val="24"/>
            <w:u w:val="single"/>
            <w:lang w:eastAsia="pt-BR"/>
          </w:rPr>
          <w:t>Flávio Tartuce</w:t>
        </w:r>
      </w:hyperlink>
    </w:p>
    <w:p w:rsidR="002F4F5E" w:rsidRPr="002F4F5E" w:rsidRDefault="002F4F5E" w:rsidP="002F4F5E">
      <w:pPr>
        <w:spacing w:before="100" w:beforeAutospacing="1" w:after="100" w:afterAutospacing="1" w:line="240" w:lineRule="auto"/>
        <w:rPr>
          <w:rFonts w:ascii="Times New Roman" w:eastAsia="Times New Roman" w:hAnsi="Times New Roman" w:cs="Times New Roman"/>
          <w:sz w:val="24"/>
          <w:szCs w:val="24"/>
          <w:lang w:eastAsia="pt-BR"/>
        </w:rPr>
      </w:pPr>
      <w:r w:rsidRPr="002F4F5E">
        <w:rPr>
          <w:rFonts w:ascii="Times New Roman" w:eastAsia="Times New Roman" w:hAnsi="Times New Roman" w:cs="Times New Roman"/>
          <w:sz w:val="24"/>
          <w:szCs w:val="24"/>
          <w:lang w:eastAsia="pt-BR"/>
        </w:rPr>
        <w:t>Advogado e consultor em São Paulo. Doutor em Direito Civil pela USP. Mestre em Direito Civil Comparado pela PUCSP. Professor do programa de mestrado e doutorado da FADISP. Professor dos cursos de graduação e pós-graduação da EPD, sendo coordenador dos últimos. Professor da Rede LFG. Autor da Editora...</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F4F5E"/>
    <w:rsid w:val="001F5267"/>
    <w:rsid w:val="002F4F5E"/>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2F4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F4F5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2F4F5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4F5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F4F5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2F4F5E"/>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F4F5E"/>
    <w:rPr>
      <w:color w:val="0000FF"/>
      <w:u w:val="single"/>
    </w:rPr>
  </w:style>
  <w:style w:type="character" w:customStyle="1" w:styleId="report-component">
    <w:name w:val="report-component"/>
    <w:basedOn w:val="Fontepargpadro"/>
    <w:rsid w:val="002F4F5E"/>
  </w:style>
  <w:style w:type="paragraph" w:customStyle="1" w:styleId="info">
    <w:name w:val="info"/>
    <w:basedOn w:val="Normal"/>
    <w:rsid w:val="002F4F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2F4F5E"/>
  </w:style>
  <w:style w:type="character" w:customStyle="1" w:styleId="count">
    <w:name w:val="count"/>
    <w:basedOn w:val="Fontepargpadro"/>
    <w:rsid w:val="002F4F5E"/>
  </w:style>
  <w:style w:type="paragraph" w:styleId="NormalWeb">
    <w:name w:val="Normal (Web)"/>
    <w:basedOn w:val="Normal"/>
    <w:uiPriority w:val="99"/>
    <w:semiHidden/>
    <w:unhideWhenUsed/>
    <w:rsid w:val="002F4F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published-by">
    <w:name w:val="doc-published-by"/>
    <w:basedOn w:val="Normal"/>
    <w:rsid w:val="002F4F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4F5E"/>
    <w:rPr>
      <w:b/>
      <w:bCs/>
    </w:rPr>
  </w:style>
  <w:style w:type="paragraph" w:customStyle="1" w:styleId="doc-author-bio">
    <w:name w:val="doc-author-bio"/>
    <w:basedOn w:val="Normal"/>
    <w:rsid w:val="002F4F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F4F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505045">
      <w:bodyDiv w:val="1"/>
      <w:marLeft w:val="0"/>
      <w:marRight w:val="0"/>
      <w:marTop w:val="0"/>
      <w:marBottom w:val="0"/>
      <w:divBdr>
        <w:top w:val="none" w:sz="0" w:space="0" w:color="auto"/>
        <w:left w:val="none" w:sz="0" w:space="0" w:color="auto"/>
        <w:bottom w:val="none" w:sz="0" w:space="0" w:color="auto"/>
        <w:right w:val="none" w:sz="0" w:space="0" w:color="auto"/>
      </w:divBdr>
      <w:divsChild>
        <w:div w:id="1305046297">
          <w:marLeft w:val="0"/>
          <w:marRight w:val="0"/>
          <w:marTop w:val="0"/>
          <w:marBottom w:val="0"/>
          <w:divBdr>
            <w:top w:val="none" w:sz="0" w:space="0" w:color="auto"/>
            <w:left w:val="none" w:sz="0" w:space="0" w:color="auto"/>
            <w:bottom w:val="none" w:sz="0" w:space="0" w:color="auto"/>
            <w:right w:val="none" w:sz="0" w:space="0" w:color="auto"/>
          </w:divBdr>
          <w:divsChild>
            <w:div w:id="2086798271">
              <w:marLeft w:val="0"/>
              <w:marRight w:val="0"/>
              <w:marTop w:val="0"/>
              <w:marBottom w:val="0"/>
              <w:divBdr>
                <w:top w:val="none" w:sz="0" w:space="0" w:color="auto"/>
                <w:left w:val="none" w:sz="0" w:space="0" w:color="auto"/>
                <w:bottom w:val="none" w:sz="0" w:space="0" w:color="auto"/>
                <w:right w:val="none" w:sz="0" w:space="0" w:color="auto"/>
              </w:divBdr>
            </w:div>
          </w:divsChild>
        </w:div>
        <w:div w:id="818301119">
          <w:marLeft w:val="0"/>
          <w:marRight w:val="0"/>
          <w:marTop w:val="0"/>
          <w:marBottom w:val="0"/>
          <w:divBdr>
            <w:top w:val="none" w:sz="0" w:space="0" w:color="auto"/>
            <w:left w:val="none" w:sz="0" w:space="0" w:color="auto"/>
            <w:bottom w:val="none" w:sz="0" w:space="0" w:color="auto"/>
            <w:right w:val="none" w:sz="0" w:space="0" w:color="auto"/>
          </w:divBdr>
          <w:divsChild>
            <w:div w:id="2129620274">
              <w:marLeft w:val="0"/>
              <w:marRight w:val="0"/>
              <w:marTop w:val="0"/>
              <w:marBottom w:val="0"/>
              <w:divBdr>
                <w:top w:val="none" w:sz="0" w:space="0" w:color="auto"/>
                <w:left w:val="none" w:sz="0" w:space="0" w:color="auto"/>
                <w:bottom w:val="none" w:sz="0" w:space="0" w:color="auto"/>
                <w:right w:val="none" w:sz="0" w:space="0" w:color="auto"/>
              </w:divBdr>
            </w:div>
          </w:divsChild>
        </w:div>
        <w:div w:id="162322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37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6988">
          <w:marLeft w:val="0"/>
          <w:marRight w:val="0"/>
          <w:marTop w:val="0"/>
          <w:marBottom w:val="0"/>
          <w:divBdr>
            <w:top w:val="none" w:sz="0" w:space="0" w:color="auto"/>
            <w:left w:val="none" w:sz="0" w:space="0" w:color="auto"/>
            <w:bottom w:val="none" w:sz="0" w:space="0" w:color="auto"/>
            <w:right w:val="none" w:sz="0" w:space="0" w:color="auto"/>
          </w:divBdr>
          <w:divsChild>
            <w:div w:id="438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19755/par%C3%A1grafo-2-artigo-1639-da-lei-n-10406-de-10-de-janeiro-de-2002" TargetMode="External"/><Relationship Id="rId18" Type="http://schemas.openxmlformats.org/officeDocument/2006/relationships/hyperlink" Target="http://www.jusbrasil.com.br/topicos/10591922/artigo-2039-da-lei-n-10406-de-10-de-janeiro-de-2002" TargetMode="External"/><Relationship Id="rId26" Type="http://schemas.openxmlformats.org/officeDocument/2006/relationships/hyperlink" Target="http://www.jusbrasil.com.br/topicos/10619839/artigo-1639-da-lei-n-10406-de-10-de-janeiro-de-2002" TargetMode="External"/><Relationship Id="rId39" Type="http://schemas.openxmlformats.org/officeDocument/2006/relationships/hyperlink" Target="http://www.jusbrasil.com.br/legislacao/111983995/c%C3%B3digo-civil-lei-10406-02" TargetMode="External"/><Relationship Id="rId21" Type="http://schemas.openxmlformats.org/officeDocument/2006/relationships/hyperlink" Target="http://www.jusbrasil.com.br/legislacao/103251/c%C3%B3digo-civil-de-1916-lei-3071-16" TargetMode="External"/><Relationship Id="rId34" Type="http://schemas.openxmlformats.org/officeDocument/2006/relationships/hyperlink" Target="http://www.jusbrasil.com.br/topicos/10591686/artigo-2045-da-lei-n-10406-de-10-de-janeiro-de-2002" TargetMode="External"/><Relationship Id="rId42" Type="http://schemas.openxmlformats.org/officeDocument/2006/relationships/hyperlink" Target="http://www.jusbrasil.com.br/legislacao/111983995/c%C3%B3digo-civil-lei-10406-02" TargetMode="External"/><Relationship Id="rId47" Type="http://schemas.openxmlformats.org/officeDocument/2006/relationships/hyperlink" Target="http://www.jusbrasil.com.br/topicos/10619839/artigo-1639-da-lei-n-10406-de-10-de-janeiro-de-2002" TargetMode="External"/><Relationship Id="rId50" Type="http://schemas.openxmlformats.org/officeDocument/2006/relationships/hyperlink" Target="http://www.jusbrasil.com.br/topicos/28890382/par%C3%A1grafo-2-artigo-734-da-lei-n-13105-de-16-de-marco-de-2015" TargetMode="External"/><Relationship Id="rId55" Type="http://schemas.openxmlformats.org/officeDocument/2006/relationships/hyperlink" Target="http://www.jusbrasil.com.br/legislacao/174276278/lei-13105-15" TargetMode="External"/><Relationship Id="rId7" Type="http://schemas.openxmlformats.org/officeDocument/2006/relationships/hyperlink" Target="http://flaviotartuce.jusbrasil.com.br/artigos/318081198/da-acao-de-alteracao-de-regime-de-bens-no-novo-cpc-segunda-parte?utm_campaign=newsletter-daily_20160331_3103&amp;utm_medium=email&amp;utm_source=newsletter" TargetMode="External"/><Relationship Id="rId12" Type="http://schemas.openxmlformats.org/officeDocument/2006/relationships/hyperlink" Target="http://www.jusbrasil.com.br/topicos/10619839/artigo-1639-da-lei-n-10406-de-10-de-janeiro-de-2002" TargetMode="External"/><Relationship Id="rId17" Type="http://schemas.openxmlformats.org/officeDocument/2006/relationships/hyperlink" Target="http://www.jusbrasil.com.br/legislacao/103251/c%C3%B3digo-civil-de-1916-lei-3071-16" TargetMode="External"/><Relationship Id="rId25" Type="http://schemas.openxmlformats.org/officeDocument/2006/relationships/hyperlink" Target="http://www.jusbrasil.com.br/legislacao/111983995/c%C3%B3digo-civil-lei-10406-02" TargetMode="External"/><Relationship Id="rId33" Type="http://schemas.openxmlformats.org/officeDocument/2006/relationships/hyperlink" Target="http://www.jusbrasil.com.br/legislacao/111983995/c%C3%B3digo-civil-lei-10406-02" TargetMode="External"/><Relationship Id="rId38" Type="http://schemas.openxmlformats.org/officeDocument/2006/relationships/hyperlink" Target="http://www.jusbrasil.com.br/topicos/10591922/artigo-2039-da-lei-n-10406-de-10-de-janeiro-de-2002" TargetMode="External"/><Relationship Id="rId46" Type="http://schemas.openxmlformats.org/officeDocument/2006/relationships/hyperlink" Target="http://www.jusbrasil.com.br/topicos/10619755/par%C3%A1grafo-2-artigo-1639-da-lei-n-10406-de-10-de-janeiro-de-200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usbrasil.com.br/legislacao/174276278/lei-13105-15" TargetMode="External"/><Relationship Id="rId20" Type="http://schemas.openxmlformats.org/officeDocument/2006/relationships/hyperlink" Target="http://www.jusbrasil.com.br/legislacao/103251/c%C3%B3digo-civil-de-1916-lei-3071-16" TargetMode="External"/><Relationship Id="rId29" Type="http://schemas.openxmlformats.org/officeDocument/2006/relationships/hyperlink" Target="http://www.jusbrasil.com.br/topicos/10592343/artigo-2035-da-lei-n-10406-de-10-de-janeiro-de-2002" TargetMode="External"/><Relationship Id="rId41" Type="http://schemas.openxmlformats.org/officeDocument/2006/relationships/hyperlink" Target="http://www.jusbrasil.com.br/topicos/10619755/par%C3%A1grafo-2-artigo-1639-da-lei-n-10406-de-10-de-janeiro-de-2002" TargetMode="External"/><Relationship Id="rId54" Type="http://schemas.openxmlformats.org/officeDocument/2006/relationships/hyperlink" Target="http://www.jusbrasil.com.br/topicos/28890386/artigo-734-da-lei-n-13105-de-16-de-marco-de-2015" TargetMode="External"/><Relationship Id="rId1" Type="http://schemas.openxmlformats.org/officeDocument/2006/relationships/styles" Target="styles.xml"/><Relationship Id="rId6" Type="http://schemas.openxmlformats.org/officeDocument/2006/relationships/hyperlink" Target="http://flaviotartuce.jusbrasil.com.br/artigos/318081198/da-acao-de-alteracao-de-regime-de-bens-no-novo-cpc-segunda-parte?print=true" TargetMode="External"/><Relationship Id="rId11" Type="http://schemas.openxmlformats.org/officeDocument/2006/relationships/hyperlink" Target="http://www.jusbrasil.com.br/legislacao/111983995/c%C3%B3digo-civil-lei-10406-02" TargetMode="External"/><Relationship Id="rId24" Type="http://schemas.openxmlformats.org/officeDocument/2006/relationships/hyperlink" Target="http://www.jusbrasil.com.br/legislacao/111983995/c%C3%B3digo-civil-lei-10406-02" TargetMode="External"/><Relationship Id="rId32" Type="http://schemas.openxmlformats.org/officeDocument/2006/relationships/hyperlink" Target="http://www.jusbrasil.com.br/topicos/10592343/artigo-2035-da-lei-n-10406-de-10-de-janeiro-de-2002" TargetMode="External"/><Relationship Id="rId37" Type="http://schemas.openxmlformats.org/officeDocument/2006/relationships/hyperlink" Target="http://www.jusbrasil.com.br/legislacao/111983995/c%C3%B3digo-civil-lei-10406-02" TargetMode="External"/><Relationship Id="rId40" Type="http://schemas.openxmlformats.org/officeDocument/2006/relationships/hyperlink" Target="http://www.jusbrasil.com.br/topicos/10619839/artigo-1639-da-lei-n-10406-de-10-de-janeiro-de-2002" TargetMode="External"/><Relationship Id="rId45" Type="http://schemas.openxmlformats.org/officeDocument/2006/relationships/hyperlink" Target="http://www.jusbrasil.com.br/legislacao/111983995/c%C3%B3digo-civil-lei-10406-02" TargetMode="External"/><Relationship Id="rId53" Type="http://schemas.openxmlformats.org/officeDocument/2006/relationships/hyperlink" Target="http://www.jusbrasil.com.br/topicos/28890380/par%C3%A1grafo-3-artigo-734-da-lei-n-13105-de-16-de-marco-de-2015" TargetMode="External"/><Relationship Id="rId58" Type="http://schemas.openxmlformats.org/officeDocument/2006/relationships/hyperlink" Target="http://flaviotartuce.jusbrasil.com.br/" TargetMode="External"/><Relationship Id="rId5" Type="http://schemas.openxmlformats.org/officeDocument/2006/relationships/hyperlink" Target="http://flaviotartuce.jusbrasil.com.br/artigos/318081198/da-acao-de-alteracao-de-regime-de-bens-no-novo-cpc-segunda-parte?utm_campaign=newsletter-daily_20160331_3103&amp;utm_medium=email&amp;utm_source=newsletter" TargetMode="External"/><Relationship Id="rId15" Type="http://schemas.openxmlformats.org/officeDocument/2006/relationships/hyperlink" Target="http://www.jusbrasil.com.br/legislacao/174276278/lei-13105-15" TargetMode="External"/><Relationship Id="rId23" Type="http://schemas.openxmlformats.org/officeDocument/2006/relationships/hyperlink" Target="http://www.jusbrasil.com.br/legislacao/111983995/c%C3%B3digo-civil-lei-10406-02" TargetMode="External"/><Relationship Id="rId28" Type="http://schemas.openxmlformats.org/officeDocument/2006/relationships/hyperlink" Target="http://www.jusbrasil.com.br/legislacao/111983995/c%C3%B3digo-civil-lei-10406-02" TargetMode="External"/><Relationship Id="rId36" Type="http://schemas.openxmlformats.org/officeDocument/2006/relationships/hyperlink" Target="http://www.jusbrasil.com.br/topicos/10619713/artigo-1640-da-lei-n-10406-de-10-de-janeiro-de-2002" TargetMode="External"/><Relationship Id="rId49" Type="http://schemas.openxmlformats.org/officeDocument/2006/relationships/hyperlink" Target="http://www.jusbrasil.com.br/legislacao/174276278/lei-13105-15" TargetMode="External"/><Relationship Id="rId57" Type="http://schemas.openxmlformats.org/officeDocument/2006/relationships/image" Target="media/image1.jpeg"/><Relationship Id="rId10" Type="http://schemas.openxmlformats.org/officeDocument/2006/relationships/hyperlink" Target="http://www.jusbrasil.com.br/legislacao/174276278/lei-13105-15" TargetMode="External"/><Relationship Id="rId19" Type="http://schemas.openxmlformats.org/officeDocument/2006/relationships/hyperlink" Target="http://www.jusbrasil.com.br/legislacao/111983995/c%C3%B3digo-civil-lei-10406-02" TargetMode="External"/><Relationship Id="rId31" Type="http://schemas.openxmlformats.org/officeDocument/2006/relationships/hyperlink" Target="http://www.jusbrasil.com.br/legislacao/111983995/c%C3%B3digo-civil-lei-10406-02" TargetMode="External"/><Relationship Id="rId44" Type="http://schemas.openxmlformats.org/officeDocument/2006/relationships/hyperlink" Target="http://www.jusbrasil.com.br/topicos/10592343/artigo-2035-da-lei-n-10406-de-10-de-janeiro-de-2002" TargetMode="External"/><Relationship Id="rId52" Type="http://schemas.openxmlformats.org/officeDocument/2006/relationships/hyperlink" Target="http://www.jusbrasil.com.br/legislacao/111983995/c%C3%B3digo-civil-lei-10406-02" TargetMode="External"/><Relationship Id="rId60" Type="http://schemas.openxmlformats.org/officeDocument/2006/relationships/theme" Target="theme/theme1.xml"/><Relationship Id="rId4" Type="http://schemas.openxmlformats.org/officeDocument/2006/relationships/hyperlink" Target="http://flaviotartuce.jusbrasil.com.br/artigos/318081198/da-acao-de-alteracao-de-regime-de-bens-no-novo-cpc-segunda-parte?utm_campaign=newsletter-daily_20160331_3103&amp;utm_medium=email&amp;utm_source=newsletter" TargetMode="External"/><Relationship Id="rId9" Type="http://schemas.openxmlformats.org/officeDocument/2006/relationships/hyperlink" Target="http://flaviotartuce.jusbrasil.com.br/artigos/308245219/da-acao-de-alteracao-de-regime-de-bens-no-novo-cpc-primeira-parte" TargetMode="External"/><Relationship Id="rId14" Type="http://schemas.openxmlformats.org/officeDocument/2006/relationships/hyperlink" Target="http://www.jusbrasil.com.br/topicos/28890386/artigo-734-da-lei-n-13105-de-16-de-marco-de-2015" TargetMode="External"/><Relationship Id="rId22" Type="http://schemas.openxmlformats.org/officeDocument/2006/relationships/hyperlink" Target="http://www.jusbrasil.com.br/topicos/10591922/artigo-2039-da-lei-n-10406-de-10-de-janeiro-de-2002" TargetMode="External"/><Relationship Id="rId27" Type="http://schemas.openxmlformats.org/officeDocument/2006/relationships/hyperlink" Target="http://www.jusbrasil.com.br/topicos/10619755/par%C3%A1grafo-2-artigo-1639-da-lei-n-10406-de-10-de-janeiro-de-2002" TargetMode="External"/><Relationship Id="rId30" Type="http://schemas.openxmlformats.org/officeDocument/2006/relationships/hyperlink" Target="http://www.jusbrasil.com.br/topicos/10723240/artigo-104-da-lei-n-10406-de-10-de-janeiro-de-2002" TargetMode="External"/><Relationship Id="rId35" Type="http://schemas.openxmlformats.org/officeDocument/2006/relationships/hyperlink" Target="http://www.jusbrasil.com.br/legislacao/155571402/constitui%C3%A7%C3%A3o-federal-constitui%C3%A7%C3%A3o-da-republica-federativa-do-brasil-1988" TargetMode="External"/><Relationship Id="rId43" Type="http://schemas.openxmlformats.org/officeDocument/2006/relationships/hyperlink" Target="http://www.jusbrasil.com.br/topicos/10730855/artigo-5-da-lei-n-10406-de-10-de-janeiro-de-2002" TargetMode="External"/><Relationship Id="rId48" Type="http://schemas.openxmlformats.org/officeDocument/2006/relationships/hyperlink" Target="http://www.jusbrasil.com.br/legislacao/111983995/c%C3%B3digo-civil-lei-10406-02" TargetMode="External"/><Relationship Id="rId56" Type="http://schemas.openxmlformats.org/officeDocument/2006/relationships/hyperlink" Target="http://flaviotartuce.jusbrasil.com.br/artigos/308245219/da-acao-de-alteracao-de-regime-de-bens-no-novo-cpc-primeira-parte" TargetMode="External"/><Relationship Id="rId8" Type="http://schemas.openxmlformats.org/officeDocument/2006/relationships/hyperlink" Target="http://flaviotartuce.jusbrasil.com.br/" TargetMode="External"/><Relationship Id="rId51" Type="http://schemas.openxmlformats.org/officeDocument/2006/relationships/hyperlink" Target="http://www.jusbrasil.com.br/topicos/28890386/artigo-734-da-lei-n-13105-de-16-de-marco-de-2015"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3376</Words>
  <Characters>18234</Characters>
  <Application>Microsoft Office Word</Application>
  <DocSecurity>0</DocSecurity>
  <Lines>151</Lines>
  <Paragraphs>43</Paragraphs>
  <ScaleCrop>false</ScaleCrop>
  <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2016-04-01T21:42:00Z</dcterms:created>
  <dcterms:modified xsi:type="dcterms:W3CDTF">2016-04-01T21:42:00Z</dcterms:modified>
</cp:coreProperties>
</file>