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58" w:rsidRPr="002D5858" w:rsidRDefault="002D5858" w:rsidP="002D585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t-BR"/>
        </w:rPr>
      </w:pPr>
      <w:r w:rsidRPr="002D585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t-BR"/>
        </w:rPr>
        <w:t>EXECUÇÃO FISCAL:</w:t>
      </w:r>
    </w:p>
    <w:p w:rsidR="002D5858" w:rsidRPr="002D5858" w:rsidRDefault="002D5858" w:rsidP="002D585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2D585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TJ - AGRAVO REGIMENTAL NO RECURSO ESPECIAL </w:t>
      </w:r>
      <w:proofErr w:type="spellStart"/>
      <w:proofErr w:type="gramStart"/>
      <w:r w:rsidRPr="002D585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AgRg</w:t>
      </w:r>
      <w:proofErr w:type="spellEnd"/>
      <w:proofErr w:type="gramEnd"/>
      <w:r w:rsidRPr="002D585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no </w:t>
      </w:r>
      <w:proofErr w:type="spellStart"/>
      <w:r w:rsidRPr="002D585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REsp</w:t>
      </w:r>
      <w:proofErr w:type="spellEnd"/>
      <w:r w:rsidRPr="002D585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1393814 RS 2013/0225479-1 (STJ)</w:t>
      </w:r>
    </w:p>
    <w:p w:rsidR="002D5858" w:rsidRPr="002D5858" w:rsidRDefault="002D5858" w:rsidP="002D585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2D585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Data de publicação: 06/12/2013</w:t>
      </w:r>
    </w:p>
    <w:p w:rsidR="002D5858" w:rsidRDefault="002D5858" w:rsidP="002D585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2D585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Ementa: TRIBUTÁRIO. EXECUÇÃO FISCAL. ALEGAÇÃO DE QUE A INDISPONIBILIDADE DE BENS PREVISTA NO ART. 185-A DO </w:t>
      </w:r>
      <w:proofErr w:type="gramStart"/>
      <w:r w:rsidRPr="002D585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CTN ,</w:t>
      </w:r>
      <w:proofErr w:type="gramEnd"/>
      <w:r w:rsidRPr="002D585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RECAI SOBRE TODOS OS BENS DO DEVEDOR. CONSTRICÇÃO SOBRE BEM DE FAMÍLIA. IMPOSSIBILIDADE. PROTEÇÃO À MORADIA CONFERIDA PELA LEI SARNEY (LEI 8.009 /90). AGRAVO REGIMENTAL A QUE SE NEGA PROVIMENTO. </w:t>
      </w:r>
    </w:p>
    <w:p w:rsidR="002D5858" w:rsidRDefault="002D5858" w:rsidP="002D585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t-BR"/>
        </w:rPr>
      </w:pPr>
      <w:r w:rsidRPr="002D5858">
        <w:rPr>
          <w:rFonts w:ascii="Times New Roman" w:eastAsia="Times New Roman" w:hAnsi="Times New Roman" w:cs="Times New Roman"/>
          <w:bCs/>
          <w:sz w:val="27"/>
          <w:szCs w:val="27"/>
          <w:lang w:eastAsia="pt-BR"/>
        </w:rPr>
        <w:t xml:space="preserve">1. O imóvel familiar é revestido de impenhorabilidade absoluta, consoante a Lei 8.009 /1990, tendo em vista a proteção à moradia conferida pela </w:t>
      </w:r>
      <w:proofErr w:type="gramStart"/>
      <w:r w:rsidRPr="002D5858">
        <w:rPr>
          <w:rFonts w:ascii="Times New Roman" w:eastAsia="Times New Roman" w:hAnsi="Times New Roman" w:cs="Times New Roman"/>
          <w:bCs/>
          <w:sz w:val="27"/>
          <w:szCs w:val="27"/>
          <w:lang w:eastAsia="pt-BR"/>
        </w:rPr>
        <w:t>CF ;</w:t>
      </w:r>
      <w:proofErr w:type="gramEnd"/>
      <w:r w:rsidRPr="002D5858">
        <w:rPr>
          <w:rFonts w:ascii="Times New Roman" w:eastAsia="Times New Roman" w:hAnsi="Times New Roman" w:cs="Times New Roman"/>
          <w:bCs/>
          <w:sz w:val="27"/>
          <w:szCs w:val="27"/>
          <w:lang w:eastAsia="pt-BR"/>
        </w:rPr>
        <w:t xml:space="preserve"> nesse sentido, qualquer argumento oposto pela Fazenda Pública, por mais relevante que o seja, não se sustenta para determinar a expropriação do bem de família em favor da execução fiscal, nos moldes de proteção estabelecido pela Carta Maior . </w:t>
      </w:r>
    </w:p>
    <w:p w:rsidR="002D5858" w:rsidRPr="002D5858" w:rsidRDefault="002D5858" w:rsidP="002D585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t-BR"/>
        </w:rPr>
      </w:pPr>
      <w:r w:rsidRPr="002D5858">
        <w:rPr>
          <w:rFonts w:ascii="Times New Roman" w:eastAsia="Times New Roman" w:hAnsi="Times New Roman" w:cs="Times New Roman"/>
          <w:bCs/>
          <w:sz w:val="27"/>
          <w:szCs w:val="27"/>
          <w:lang w:eastAsia="pt-BR"/>
        </w:rPr>
        <w:t>2. Agravo Regimental a que se nega provimento.</w:t>
      </w:r>
    </w:p>
    <w:p w:rsidR="002D5858" w:rsidRDefault="002D5858" w:rsidP="00E7441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</w:p>
    <w:p w:rsidR="002D5858" w:rsidRPr="002D5858" w:rsidRDefault="002D5858" w:rsidP="00E7441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t-BR"/>
        </w:rPr>
      </w:pPr>
      <w:r w:rsidRPr="002D585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t-BR"/>
        </w:rPr>
        <w:t>FINANCIMENTO:</w:t>
      </w:r>
    </w:p>
    <w:p w:rsidR="007649C8" w:rsidRDefault="007649C8" w:rsidP="00E7441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PROCESSO INICIADO NO TJMS E TRANSITADO EM JULGADO NO STJ EM 03/2015</w:t>
      </w:r>
    </w:p>
    <w:p w:rsidR="00E74417" w:rsidRDefault="00E74417" w:rsidP="00E7441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CIVIL E PROCESSUAL CIVIL - AGRAVO INOMINADO EM APELAÇÃO CÍVEL - EMBARGOS À EXECUÇÃO - CONTRATO DE ABERTURA DE CRÉDITO FIXO - EFICÁCIA EXECUTIVA - RELAÇÃO DE CONSUMO - DESTINATÁRIO INTERMEDIÁRIO - BEM DE FAMÍLIA - POSSIBILIDADE DE DESMEMBRAMENTO DE IMÓVEIS PENHORADOS - EXCESSO DE PENHORA - MATÉRIA A SER </w:t>
      </w:r>
      <w:proofErr w:type="gramStart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EXAMINADA NOS AUTOS DA AÇÃO DE EXECUÇÃO - JUROS REMUNERATÓRIOS SUPERIORES</w:t>
      </w:r>
      <w:proofErr w:type="gramEnd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A 12% AO ANO - INEXISTÊNCIA DE ABUSIVIDADE - JUROS MORATÓRIOS - LIMITAÇÃO DE 1% AO MÊS. </w:t>
      </w:r>
    </w:p>
    <w:p w:rsidR="00E74417" w:rsidRDefault="00E74417" w:rsidP="00E7441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1. Pelo contrato de abertura de crédito fixo (ou outra denominação atribuída a contrato com tais requisi</w:t>
      </w:r>
      <w:r w:rsidR="002D585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tos), as partes convencionam o “</w:t>
      </w:r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quantum</w:t>
      </w:r>
      <w:r w:rsidR="002D585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”</w:t>
      </w:r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a ser creditado pela instituição financeira na conta-corrente do devedor, bem como os correspondentes encargos monetários e as </w:t>
      </w:r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lastRenderedPageBreak/>
        <w:t xml:space="preserve">condições do respectivo pagamento, sendo tal contrato, em razão de tais circunstâncias, dotado de liquidez e certeza e tendo, via de consequência, força de titulo executivo extrajudicial. </w:t>
      </w:r>
    </w:p>
    <w:p w:rsidR="00E74417" w:rsidRDefault="00E74417" w:rsidP="00E7441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2. Não se aplicam as disposições do Código de Defesa do Consumidor (CDC) a contrato de financiamento obtido por empresas e destinado basicamente a incrementar sua atividade </w:t>
      </w:r>
      <w:proofErr w:type="spellStart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negocial</w:t>
      </w:r>
      <w:proofErr w:type="spellEnd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. </w:t>
      </w:r>
    </w:p>
    <w:p w:rsidR="00E74417" w:rsidRDefault="00E74417" w:rsidP="00E7441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3. De acordo com a jurisprudência do Colendo Superior Tribunal de Justiça, é possível a penhora de parte do bem de família quando, levando-se em conta as peculiaridades do caso concreto, não houver prejuízo para a área residencial do imóvel também utilizado para o comércio. </w:t>
      </w:r>
    </w:p>
    <w:p w:rsidR="00E74417" w:rsidRDefault="00E74417" w:rsidP="00E7441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4. A análise de possível excesso de penhora não constituía matéria elencada na antiga redação dos incisos do artigo 741, do Código de Processo Civil, considerando-se inadequada a via dos embargos à execução para sua verificação. Sendo o entendimento jurisprudencial no sentido de que a redução da penhora constitui incidente da execução e naqueles autos deve ser decidida, descabe sua apreciação em embargos à execução. Ademais, a teor do artigo 685, inc. I, do Estatuto Processual Civil, a possível redução da penhora ou transferência do gravame para outros bens deve ser determinada pela autoridade judiciária somente </w:t>
      </w:r>
      <w:proofErr w:type="gramStart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após</w:t>
      </w:r>
      <w:proofErr w:type="gramEnd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procedida a avaliação. </w:t>
      </w:r>
    </w:p>
    <w:p w:rsidR="00E74417" w:rsidRDefault="00E74417" w:rsidP="00E7441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5. As instituições financeiras não se sujeitam à limitação dos juros remuneratórios estipulada na Lei de Usura (Decreto Federal nº. 22.626/33), consoante estabelece o Enunciado nº 596, da Súmula de Jurisprudência do Excelso Supremo Tribunal Federal. A estipulação de juros remuneratórios superiores a 12% (doze por cento) ao ano, por si só, não indica </w:t>
      </w:r>
      <w:proofErr w:type="spellStart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abusividade</w:t>
      </w:r>
      <w:proofErr w:type="spellEnd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. Nos contratos bancários, </w:t>
      </w:r>
      <w:proofErr w:type="spellStart"/>
      <w:proofErr w:type="gramStart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não-regidos</w:t>
      </w:r>
      <w:proofErr w:type="spellEnd"/>
      <w:proofErr w:type="gramEnd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por legislação específica, os juros moratórios poderão ser convencionados até o limite de 1% ao mês. </w:t>
      </w:r>
    </w:p>
    <w:p w:rsidR="00E74417" w:rsidRDefault="00E74417" w:rsidP="00E7441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6. Nega-se provimento a agravo interposto com fundamento no art. 557, § 1º, do Código de Processo Civil, quando a decisão monocrática hostilizada tiver sido prolatada nos termos do mesmo art. 557, § 1º-A, do Estatuto Processual Civil. </w:t>
      </w:r>
    </w:p>
    <w:p w:rsidR="00E74417" w:rsidRDefault="00E74417" w:rsidP="00E7441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7. Recurso </w:t>
      </w:r>
      <w:proofErr w:type="spellStart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improvido</w:t>
      </w:r>
      <w:proofErr w:type="spellEnd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. Opostos embargos de declaração, estes foram rejeitados. Em suas razões de recurso especial, os recorrentes apontam violação ao art. 5º da Lei 8.009/1990, sustentando, em síntese, a inadmissibilidade de penhora do bem de família sendo inviável o desmembramento do imóvel, pois este se encontra edificado em uma mesma construção. Contrarrazões às fls. 295/304. O Tribunal de origem inadmitiu o recurso sob o fundamento de incidir a Súmula 7/STJ. Daí o </w:t>
      </w:r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lastRenderedPageBreak/>
        <w:t xml:space="preserve">presente agravo (fls. 343/359), buscando destrancar o processamento daquela insurgência, no qual os insurgentes refutam o óbice aplicado pela Corte estadual. Contraminuta às fls. 374/381. É o relatório. Decido. A </w:t>
      </w:r>
      <w:proofErr w:type="spellStart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irresignação</w:t>
      </w:r>
      <w:proofErr w:type="spellEnd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não merece prosperar. </w:t>
      </w:r>
    </w:p>
    <w:p w:rsidR="00E74417" w:rsidRDefault="00E74417" w:rsidP="00E7441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1. Nos termos da jurisprudência assente desta Corte Superior, a impenhorabilidade do bem de família prevista na Lei 8.009/1990 é norma </w:t>
      </w:r>
      <w:proofErr w:type="spellStart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protetiva</w:t>
      </w:r>
      <w:proofErr w:type="spellEnd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de ordem pública, porém poderá ser excepcionada nas hipóteses prevista no art. 3º da referida lei, bem como nos casos em que o imóvel de área extensa possa ser desmembrado sem que seja desvirtuada a finalidade da proteção, de acordo com as peculiaridades do caso concreto. </w:t>
      </w:r>
      <w:proofErr w:type="gramStart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A adotando</w:t>
      </w:r>
      <w:proofErr w:type="gramEnd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o entendimento acima, o Tribunal de origem consignou a possibilidade de, ao menos em tese, ser penhorado o imóvel onde instalada a pessoa jurídica para exercício de suas atividades comerciais, conforme se verifica do seguinte trecho extraído do aresto combatido: Insurge-se o Embargado contra a revogação da constrição judicial (penhora) que incidia sobre 02 (dois) imóveis (residencial e comercial) de propriedade do cidadão de nome Jair Teixeira, Embargante apontado devedor-solidário no instrumento contratual de fls. 08/09, dos autos da ação de execução apensa (proc. nº 024.020.076.688). Da petição inicial de fls. 02/15, extrai-se a alegação de que "os bens penhorados encontram-se edificados, respectivamente, uma casa, na qual serve de residência familiar dos executados, e uma padaria, que serve de sustento não só dos embargados, mas também de todos os seus funcionários, posto que estes </w:t>
      </w:r>
      <w:proofErr w:type="gramStart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dependem</w:t>
      </w:r>
      <w:proofErr w:type="gramEnd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desse comercio para a sua sobrevivência" (fl. 03, parágrafo 2º). Assim, vê-se que os próprios Embargantes admitem que somente um dos imóveis serve-lhes de moradia; o outro (imóvel) destina-se ao exercício de atividade comercial, circunstância que afasta parcialmente, in </w:t>
      </w:r>
      <w:proofErr w:type="spellStart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casu</w:t>
      </w:r>
      <w:proofErr w:type="spellEnd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, a incidência da proteção legal insculpida na Lei Federal nº 8.009/90. (...) Logo, revela-se possível, ao menos em tese, a incidência da constrição judicial (penhora) sobre </w:t>
      </w:r>
      <w:proofErr w:type="gramStart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o imóvel onde instalada</w:t>
      </w:r>
      <w:proofErr w:type="gramEnd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comercialmente a Embargante PADARIA E CONFEITARIA MULTI PÃO LTDA. ME. Dessa forma, inviável infirmar as conclusões a que chegou o acórdão recorrido quanto à possibilidade ou não do desmembramento do imóvel, pois seria imperiosa a incursão na seara probatória dos autos, o que é vedado nesta instância extraordinária, nos termos da Súmula 7/STJ. Nesse sentido: DIREITO CIVIL E PROCESSUAL CIVIL. RECURSO ESPECIAL. ALEGAÇÃO DE OFENSA A DISPOSITIVO CONSTITUCIONAL. NÃO CABIMENTO. VIOLAÇÃO À COISA JULGADA. BEM DE FAMÍLIA, POSSIBILIDADE DE PENHORA PARCIAL. REEXAME DE MATÉRIA FÁTICO PROBATÓRIA. IMPOSSIBILIDADE. </w:t>
      </w:r>
    </w:p>
    <w:p w:rsidR="00E74417" w:rsidRDefault="00E74417" w:rsidP="00E7441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proofErr w:type="gramStart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lastRenderedPageBreak/>
        <w:t>1.</w:t>
      </w:r>
      <w:proofErr w:type="gramEnd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- A alegação de ofensa a dispositivo da Constituição Federal não tem passagem em sede de recurso especial, voltado ao enfrentamento de questões infraconstitucionais, apenas. </w:t>
      </w:r>
    </w:p>
    <w:p w:rsidR="00E74417" w:rsidRDefault="00E74417" w:rsidP="00E7441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proofErr w:type="gramStart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2.</w:t>
      </w:r>
      <w:proofErr w:type="gramEnd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- Decisão judicial que determina a penhora parcial de imóvel com extensa área não malfere a coisa julgada proveniente de decisão judicial anterior que reconheceu esse mesmo imóvel como bem de família. </w:t>
      </w:r>
    </w:p>
    <w:p w:rsidR="00E74417" w:rsidRDefault="00E74417" w:rsidP="00E7441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proofErr w:type="gramStart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</w:t>
      </w:r>
      <w:proofErr w:type="gramEnd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- A Jurisprudência desta Corte já se manifestou positivamente quanto à possibilidade de desmembramento de imóveis sobre os quais recaiam a proteção conferida pela Lei 8.009/90 quando for possível preservar a destinação própria tutelada pela norma </w:t>
      </w:r>
      <w:proofErr w:type="spellStart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protetiva</w:t>
      </w:r>
      <w:proofErr w:type="spellEnd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. Precedentes. </w:t>
      </w:r>
    </w:p>
    <w:p w:rsidR="00E74417" w:rsidRDefault="00E74417" w:rsidP="00E7441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proofErr w:type="gramStart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4.</w:t>
      </w:r>
      <w:proofErr w:type="gramEnd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- No caso dos autos, tendo o Tribunal de origem concluído que o imóvel era passível de repartição sem prejuízo de sua qualidade de bem de família, não é possível afirmar que faltava prova nos autos para concluir nesse sentido, sem que novamente se examinasse o caderno probatório. Incidência da Súmula 07/STJ. </w:t>
      </w:r>
    </w:p>
    <w:p w:rsidR="00DE3EE9" w:rsidRDefault="00E74417" w:rsidP="00E7441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proofErr w:type="gramStart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5.</w:t>
      </w:r>
      <w:proofErr w:type="gramEnd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- Agravo Regimental desprovido. (</w:t>
      </w:r>
      <w:proofErr w:type="spellStart"/>
      <w:proofErr w:type="gramStart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AgRg</w:t>
      </w:r>
      <w:proofErr w:type="spellEnd"/>
      <w:proofErr w:type="gramEnd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no </w:t>
      </w:r>
      <w:proofErr w:type="spellStart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AREsp</w:t>
      </w:r>
      <w:proofErr w:type="spellEnd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439292/PR, Rel. Min. Sidnei Beneti, Terceira Turma, </w:t>
      </w:r>
      <w:proofErr w:type="spellStart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DJe</w:t>
      </w:r>
      <w:proofErr w:type="spellEnd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de 13/03/2014) </w:t>
      </w:r>
    </w:p>
    <w:p w:rsidR="00E74417" w:rsidRDefault="00E74417" w:rsidP="00E7441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AGRAVO REGIMENTAL EM AGRAVO DE INSTRUMENTO - FRACIONAMENTO DE IMÓVEL GRAVADO COMO BEM DE FAMÍLIA - DECISÃO MONOCRÁTICA NEGANDO PROVIMENTO AO RECURSO. </w:t>
      </w:r>
    </w:p>
    <w:p w:rsidR="00E74417" w:rsidRDefault="00E74417" w:rsidP="00E7441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1. A orientação desta Corte de Justiça firma-se no sentido de que é viável a penhora de parte do imóvel caracterizado como bem de família, quando </w:t>
      </w:r>
      <w:proofErr w:type="spellStart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desmembrável</w:t>
      </w:r>
      <w:proofErr w:type="spellEnd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. </w:t>
      </w:r>
    </w:p>
    <w:p w:rsidR="00E74417" w:rsidRDefault="00E74417" w:rsidP="00E7441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2. Alegada violação ao art. 620 do Código de Processo Civil. Parte que, nas razões do apelo extremo, deixou de suscitar afronta ao art. 535 do CPC. Falta de </w:t>
      </w:r>
      <w:proofErr w:type="spellStart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prequestionamento</w:t>
      </w:r>
      <w:proofErr w:type="spellEnd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. Incidência da súmula n. 211 do </w:t>
      </w:r>
      <w:proofErr w:type="gramStart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STJ .</w:t>
      </w:r>
      <w:proofErr w:type="gramEnd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</w:t>
      </w:r>
    </w:p>
    <w:p w:rsidR="00E74417" w:rsidRPr="00E74417" w:rsidRDefault="00E74417" w:rsidP="00E7441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3. Decisão da corte de origem que, com base nas provas constantes, firmou a possibilidade de fracionamento do imóvel objeto da lide. Pretensão que exige o reexame do contexto fático-probatório, encontrando vedação na súmula </w:t>
      </w:r>
      <w:proofErr w:type="gramStart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7</w:t>
      </w:r>
      <w:proofErr w:type="gramEnd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do STJ. 4. Agravo desprovido, com aplicação de multa. (</w:t>
      </w:r>
      <w:proofErr w:type="spellStart"/>
      <w:proofErr w:type="gramStart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AgRg</w:t>
      </w:r>
      <w:proofErr w:type="spellEnd"/>
      <w:proofErr w:type="gramEnd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no </w:t>
      </w:r>
      <w:proofErr w:type="spellStart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Ag</w:t>
      </w:r>
      <w:proofErr w:type="spellEnd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1406830/SC, Rel. Min. Marco </w:t>
      </w:r>
      <w:proofErr w:type="spellStart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Buzzi</w:t>
      </w:r>
      <w:proofErr w:type="spellEnd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, Quarta Turma, </w:t>
      </w:r>
      <w:proofErr w:type="spellStart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DJe</w:t>
      </w:r>
      <w:proofErr w:type="spellEnd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de 01/08/2012) Tendo em vista que o entendimento adotado pelo Tribunal a </w:t>
      </w:r>
      <w:proofErr w:type="spellStart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quo</w:t>
      </w:r>
      <w:proofErr w:type="spellEnd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está em consonância com a jurisprudência desta Corte Superior, incide a Súmula 83/STJ, aplicável também aos casos de interposição do apelo extremo com fundamento somente na alínea a do permissivo constitucional. 2. Do exposto, nos termos do art. </w:t>
      </w:r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lastRenderedPageBreak/>
        <w:t xml:space="preserve">544, § 4º, inciso II, alínea b, do CPC, </w:t>
      </w:r>
      <w:proofErr w:type="gramStart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conheço</w:t>
      </w:r>
      <w:proofErr w:type="gramEnd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do agravo para negar seguimento ao recurso especial. Publique-se. Intimem-se. Brasília (DF), 10 de março de 2015. Ministro MARCO BUZZI Relator</w:t>
      </w:r>
    </w:p>
    <w:p w:rsidR="00E74417" w:rsidRDefault="00E74417" w:rsidP="00E7441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(STJ - </w:t>
      </w:r>
      <w:proofErr w:type="spellStart"/>
      <w:proofErr w:type="gramStart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AREsp</w:t>
      </w:r>
      <w:proofErr w:type="spellEnd"/>
      <w:proofErr w:type="gramEnd"/>
      <w:r w:rsidRPr="00E7441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: 8337 ES 2011/0096872-5, Relator: Ministro MARCO BUZZI, Data de Publicação: DJ 12/03/2015)</w:t>
      </w:r>
    </w:p>
    <w:sectPr w:rsidR="00E74417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1776"/>
    <w:rsid w:val="002D5858"/>
    <w:rsid w:val="005277C0"/>
    <w:rsid w:val="006A5A19"/>
    <w:rsid w:val="007649C8"/>
    <w:rsid w:val="00AF1776"/>
    <w:rsid w:val="00B34302"/>
    <w:rsid w:val="00D4327F"/>
    <w:rsid w:val="00DE3EE9"/>
    <w:rsid w:val="00E74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3">
    <w:name w:val="heading 3"/>
    <w:basedOn w:val="Normal"/>
    <w:link w:val="Ttulo3Char"/>
    <w:uiPriority w:val="9"/>
    <w:qFormat/>
    <w:rsid w:val="00AF17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F177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F1776"/>
    <w:rPr>
      <w:color w:val="0000FF"/>
      <w:u w:val="single"/>
    </w:rPr>
  </w:style>
  <w:style w:type="paragraph" w:customStyle="1" w:styleId="info">
    <w:name w:val="info"/>
    <w:basedOn w:val="Normal"/>
    <w:rsid w:val="00AF1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nippet">
    <w:name w:val="snippet"/>
    <w:basedOn w:val="Normal"/>
    <w:rsid w:val="00AF1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F17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1478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3</cp:revision>
  <dcterms:created xsi:type="dcterms:W3CDTF">2015-09-25T01:57:00Z</dcterms:created>
  <dcterms:modified xsi:type="dcterms:W3CDTF">2015-09-25T13:42:00Z</dcterms:modified>
</cp:coreProperties>
</file>