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0E45" w14:textId="34492AAF" w:rsidR="006B4F3E" w:rsidRDefault="003F1BA1" w:rsidP="00F45D54">
      <w:pPr>
        <w:jc w:val="both"/>
        <w:rPr>
          <w:rFonts w:cs="Arial"/>
          <w:b/>
          <w:bCs/>
        </w:rPr>
      </w:pPr>
      <w:r w:rsidRPr="003F1BA1">
        <w:rPr>
          <w:rFonts w:cs="Arial"/>
          <w:b/>
          <w:bCs/>
        </w:rPr>
        <w:t xml:space="preserve">EXCELENTÍSSIMO </w:t>
      </w:r>
      <w:r w:rsidR="006B4F3E">
        <w:rPr>
          <w:rFonts w:cs="Arial"/>
          <w:b/>
          <w:bCs/>
        </w:rPr>
        <w:t xml:space="preserve">SENHOR DOUTOR JUIZ FEDERAL DA </w:t>
      </w:r>
      <w:r w:rsidRPr="003F1BA1">
        <w:rPr>
          <w:rFonts w:cs="Arial"/>
          <w:b/>
          <w:bCs/>
        </w:rPr>
        <w:t xml:space="preserve">VARA DA JUSTIÇA </w:t>
      </w:r>
      <w:r w:rsidR="006B4F3E">
        <w:rPr>
          <w:rFonts w:cs="Arial"/>
          <w:b/>
          <w:bCs/>
        </w:rPr>
        <w:t>DO TRABALHO DA COMARCA DE NAVIRAÍ-MS</w:t>
      </w:r>
      <w:r w:rsidR="00505776">
        <w:rPr>
          <w:rFonts w:cs="Arial"/>
          <w:b/>
          <w:bCs/>
        </w:rPr>
        <w:t xml:space="preserve"> – TRT24ª Região</w:t>
      </w:r>
      <w:r w:rsidR="006B4F3E">
        <w:rPr>
          <w:rFonts w:cs="Arial"/>
          <w:b/>
          <w:bCs/>
        </w:rPr>
        <w:t>.</w:t>
      </w:r>
    </w:p>
    <w:p w14:paraId="510EFD9A" w14:textId="6D0B9EF4" w:rsidR="00CA67B3" w:rsidRDefault="00CA67B3" w:rsidP="00F45D54">
      <w:pPr>
        <w:jc w:val="both"/>
        <w:rPr>
          <w:rFonts w:cs="Arial"/>
        </w:rPr>
      </w:pPr>
    </w:p>
    <w:p w14:paraId="71DDE24F" w14:textId="0F4C6D4D" w:rsidR="00CB7588" w:rsidRDefault="00CB7588" w:rsidP="00F45D54">
      <w:pPr>
        <w:jc w:val="both"/>
        <w:rPr>
          <w:rFonts w:cs="Arial"/>
        </w:rPr>
      </w:pPr>
    </w:p>
    <w:p w14:paraId="0209CAB0" w14:textId="77777777" w:rsidR="00CB7588" w:rsidRPr="00F90C76" w:rsidRDefault="00CB7588" w:rsidP="00F45D54">
      <w:pPr>
        <w:jc w:val="both"/>
        <w:rPr>
          <w:rFonts w:cs="Arial"/>
        </w:rPr>
      </w:pPr>
    </w:p>
    <w:p w14:paraId="4723F0DC" w14:textId="77777777" w:rsidR="00CA67B3" w:rsidRPr="00F90C76" w:rsidRDefault="00CA67B3" w:rsidP="00F45D54">
      <w:pPr>
        <w:jc w:val="both"/>
        <w:rPr>
          <w:rFonts w:cs="Arial"/>
        </w:rPr>
      </w:pPr>
    </w:p>
    <w:p w14:paraId="3B3987A4" w14:textId="77777777" w:rsidR="00CA67B3" w:rsidRPr="00F90C76" w:rsidRDefault="00CA67B3" w:rsidP="00F45D54">
      <w:pPr>
        <w:jc w:val="both"/>
        <w:rPr>
          <w:rFonts w:cs="Arial"/>
        </w:rPr>
      </w:pPr>
    </w:p>
    <w:p w14:paraId="5A7318AD" w14:textId="72FC6CDB" w:rsidR="00453CB0" w:rsidRDefault="00453CB0" w:rsidP="00F45D54">
      <w:pPr>
        <w:jc w:val="both"/>
        <w:rPr>
          <w:rFonts w:ascii="Times New Roman" w:hAnsi="Times New Roman"/>
          <w:b/>
          <w:bCs/>
        </w:rPr>
      </w:pPr>
      <w:r w:rsidRPr="00453CB0">
        <w:rPr>
          <w:rFonts w:cs="Arial"/>
          <w:b/>
          <w:bCs/>
          <w:sz w:val="28"/>
        </w:rPr>
        <w:t>Processo nº:</w:t>
      </w:r>
      <w:r w:rsidR="003F1BA1">
        <w:rPr>
          <w:rFonts w:cs="Arial"/>
          <w:b/>
          <w:bCs/>
          <w:sz w:val="28"/>
        </w:rPr>
        <w:t xml:space="preserve"> </w:t>
      </w:r>
      <w:r w:rsidR="006B4F3E" w:rsidRPr="006B4F3E">
        <w:rPr>
          <w:rFonts w:cs="Arial"/>
          <w:b/>
          <w:bCs/>
          <w:sz w:val="28"/>
        </w:rPr>
        <w:t>0024123-82.2015.5.24.0086</w:t>
      </w:r>
    </w:p>
    <w:p w14:paraId="73E18550" w14:textId="02156EC6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2E226C6" w14:textId="02231D0B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181DF0B6" w14:textId="5FC31279" w:rsidR="00CB7588" w:rsidRDefault="00CB7588" w:rsidP="00F45D54">
      <w:pPr>
        <w:jc w:val="both"/>
        <w:rPr>
          <w:rFonts w:ascii="Times New Roman" w:hAnsi="Times New Roman"/>
          <w:b/>
          <w:bCs/>
        </w:rPr>
      </w:pPr>
    </w:p>
    <w:p w14:paraId="59A885B8" w14:textId="77777777" w:rsidR="00CB7588" w:rsidRDefault="00CB7588" w:rsidP="00F45D54">
      <w:pPr>
        <w:jc w:val="both"/>
        <w:rPr>
          <w:rFonts w:ascii="Times New Roman" w:hAnsi="Times New Roman"/>
          <w:b/>
          <w:bCs/>
        </w:rPr>
      </w:pPr>
    </w:p>
    <w:p w14:paraId="58F633FF" w14:textId="77777777" w:rsidR="00B81A56" w:rsidRDefault="00CF028C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w:pict w14:anchorId="54F337C7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22.55pt;margin-top:10.85pt;width:265.65pt;height:22.45pt;z-index:251635200" adj="-17884,27373,20868,27373,-18425,20975,-17884,27373">
            <v:textbox style="mso-next-textbox:#_x0000_s1557">
              <w:txbxContent>
                <w:p w14:paraId="1997CEC7" w14:textId="21AC99A8" w:rsidR="00D76835" w:rsidRDefault="006B4F3E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 xml:space="preserve">RAQUEL CINTRA </w:t>
                  </w:r>
                  <w:r w:rsidR="001A126D">
                    <w:rPr>
                      <w:rFonts w:ascii="Arial" w:hAnsi="Arial" w:cs="Arial"/>
                      <w:b/>
                    </w:rPr>
                    <w:t xml:space="preserve">BISSACOT </w:t>
                  </w:r>
                  <w:r>
                    <w:rPr>
                      <w:rFonts w:ascii="Arial" w:hAnsi="Arial" w:cs="Arial"/>
                      <w:b/>
                    </w:rPr>
                    <w:t>DE OLIVEIRA</w:t>
                  </w:r>
                  <w:r w:rsidR="00E95D96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0FF2D07D" w14:textId="38C0DDE7" w:rsidR="00686D8F" w:rsidRDefault="00453CB0" w:rsidP="00686D8F">
      <w:pPr>
        <w:jc w:val="both"/>
        <w:rPr>
          <w:rFonts w:cs="Arial"/>
        </w:rPr>
      </w:pPr>
      <w:r w:rsidRPr="003E47AD">
        <w:rPr>
          <w:rFonts w:cs="Arial"/>
        </w:rPr>
        <w:t xml:space="preserve">já qualificado </w:t>
      </w:r>
      <w:r>
        <w:rPr>
          <w:rFonts w:cs="Arial"/>
        </w:rPr>
        <w:t>n</w:t>
      </w:r>
      <w:r w:rsidRPr="003E47AD">
        <w:rPr>
          <w:rFonts w:cs="Arial"/>
        </w:rPr>
        <w:t xml:space="preserve">os </w:t>
      </w:r>
      <w:r>
        <w:rPr>
          <w:rFonts w:cs="Arial"/>
        </w:rPr>
        <w:t>a</w:t>
      </w:r>
      <w:r w:rsidRPr="003E47AD">
        <w:rPr>
          <w:rFonts w:cs="Arial"/>
        </w:rPr>
        <w:t xml:space="preserve">utos </w:t>
      </w:r>
      <w:r w:rsidR="003F1BA1">
        <w:rPr>
          <w:rFonts w:cs="Arial"/>
        </w:rPr>
        <w:t>de</w:t>
      </w:r>
      <w:r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de </w:t>
      </w:r>
      <w:r w:rsidR="001A126D">
        <w:rPr>
          <w:rFonts w:cs="Arial"/>
          <w:b/>
        </w:rPr>
        <w:t>Execução Trabalhista</w:t>
      </w:r>
      <w:r w:rsidRPr="00990E45">
        <w:rPr>
          <w:rFonts w:cs="Arial"/>
          <w:b/>
        </w:rPr>
        <w:t>,</w:t>
      </w:r>
      <w:r w:rsidRPr="003E47AD">
        <w:rPr>
          <w:rFonts w:cs="Arial"/>
        </w:rPr>
        <w:t xml:space="preserve"> em </w:t>
      </w:r>
      <w:r>
        <w:rPr>
          <w:rFonts w:cs="Arial"/>
        </w:rPr>
        <w:t>t</w:t>
      </w:r>
      <w:r w:rsidRPr="003E47AD">
        <w:rPr>
          <w:rFonts w:cs="Arial"/>
        </w:rPr>
        <w:t xml:space="preserve">râmite </w:t>
      </w:r>
      <w:r>
        <w:rPr>
          <w:rFonts w:cs="Arial"/>
        </w:rPr>
        <w:t>nesse</w:t>
      </w:r>
      <w:r w:rsidRPr="008B4E14">
        <w:rPr>
          <w:rFonts w:cs="Arial"/>
        </w:rPr>
        <w:t xml:space="preserve"> Juízo, por intermédio d</w:t>
      </w:r>
      <w:r>
        <w:rPr>
          <w:rFonts w:cs="Arial"/>
        </w:rPr>
        <w:t>o</w:t>
      </w:r>
      <w:r w:rsidR="00E95D96">
        <w:rPr>
          <w:rFonts w:cs="Arial"/>
        </w:rPr>
        <w:t>s</w:t>
      </w:r>
      <w:r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Pr="008B4E14">
        <w:rPr>
          <w:rFonts w:cs="Arial"/>
        </w:rPr>
        <w:t xml:space="preserve"> </w:t>
      </w:r>
      <w:r>
        <w:rPr>
          <w:rFonts w:cs="Arial"/>
        </w:rPr>
        <w:t>procurador</w:t>
      </w:r>
      <w:r w:rsidR="00E95D96">
        <w:rPr>
          <w:rFonts w:cs="Arial"/>
        </w:rPr>
        <w:t>es</w:t>
      </w:r>
      <w:r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Pr="003E47AD">
        <w:rPr>
          <w:rFonts w:cs="Arial"/>
          <w:b/>
        </w:rPr>
        <w:t xml:space="preserve"> </w:t>
      </w:r>
      <w:r w:rsidRPr="008B4E14">
        <w:rPr>
          <w:rFonts w:cs="Arial"/>
        </w:rPr>
        <w:t xml:space="preserve">vem respeitosamente, à presença de V. Exª </w:t>
      </w:r>
      <w:r w:rsidR="00686D8F">
        <w:rPr>
          <w:rFonts w:cs="Arial"/>
        </w:rPr>
        <w:t>para informar e requerer:</w:t>
      </w:r>
    </w:p>
    <w:p w14:paraId="5A0DC613" w14:textId="77777777" w:rsidR="00686D8F" w:rsidRPr="00686D8F" w:rsidRDefault="00686D8F" w:rsidP="00686D8F"/>
    <w:p w14:paraId="2D7E7AC9" w14:textId="12CB6BA5" w:rsidR="00686D8F" w:rsidRPr="00691D83" w:rsidRDefault="00F45D54" w:rsidP="00686D8F">
      <w:pPr>
        <w:jc w:val="both"/>
        <w:rPr>
          <w:rFonts w:cs="Arial"/>
          <w:szCs w:val="26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686D8F">
        <w:rPr>
          <w:rFonts w:cs="Arial"/>
          <w:szCs w:val="26"/>
        </w:rPr>
        <w:t>em decorrência d</w:t>
      </w:r>
      <w:r w:rsidR="002473EB">
        <w:rPr>
          <w:rFonts w:cs="Arial"/>
          <w:szCs w:val="26"/>
        </w:rPr>
        <w:t>o despacho</w:t>
      </w:r>
      <w:r w:rsidR="00686D8F">
        <w:rPr>
          <w:rFonts w:cs="Arial"/>
          <w:szCs w:val="26"/>
        </w:rPr>
        <w:t xml:space="preserve"> </w:t>
      </w:r>
      <w:r w:rsidR="00686D8F">
        <w:rPr>
          <w:rFonts w:cs="Arial"/>
          <w:szCs w:val="26"/>
        </w:rPr>
        <w:t xml:space="preserve">- </w:t>
      </w:r>
      <w:r w:rsidR="00686D8F">
        <w:rPr>
          <w:rFonts w:cs="Arial"/>
          <w:szCs w:val="26"/>
        </w:rPr>
        <w:t xml:space="preserve">id </w:t>
      </w:r>
      <w:r w:rsidR="00686D8F" w:rsidRPr="001A126D">
        <w:rPr>
          <w:rFonts w:cs="Arial"/>
          <w:szCs w:val="26"/>
        </w:rPr>
        <w:t>1962076</w:t>
      </w:r>
      <w:r w:rsidR="00686D8F">
        <w:rPr>
          <w:rFonts w:cs="Arial"/>
          <w:szCs w:val="26"/>
        </w:rPr>
        <w:t xml:space="preserve">, a </w:t>
      </w:r>
      <w:r w:rsidR="00686D8F" w:rsidRPr="00686D8F">
        <w:rPr>
          <w:rFonts w:cs="Arial"/>
          <w:b/>
          <w:szCs w:val="26"/>
        </w:rPr>
        <w:t>Executada</w:t>
      </w:r>
      <w:r w:rsidR="00686D8F">
        <w:rPr>
          <w:rFonts w:cs="Arial"/>
          <w:szCs w:val="26"/>
        </w:rPr>
        <w:t xml:space="preserve"> manifesta-se </w:t>
      </w:r>
      <w:r w:rsidR="002473EB">
        <w:rPr>
          <w:rFonts w:cs="Arial"/>
          <w:szCs w:val="26"/>
        </w:rPr>
        <w:t>nos termos seguintes</w:t>
      </w:r>
      <w:r w:rsidR="00686D8F">
        <w:rPr>
          <w:rFonts w:cs="Arial"/>
          <w:szCs w:val="26"/>
        </w:rPr>
        <w:t>:</w:t>
      </w:r>
    </w:p>
    <w:p w14:paraId="57396652" w14:textId="1B40EA4A" w:rsidR="006B4F3E" w:rsidRDefault="006B4F3E" w:rsidP="00686D8F">
      <w:pPr>
        <w:jc w:val="both"/>
        <w:rPr>
          <w:rFonts w:cs="Arial"/>
        </w:rPr>
      </w:pPr>
    </w:p>
    <w:p w14:paraId="6FCCDEFB" w14:textId="2A037AD4" w:rsidR="00686D8F" w:rsidRDefault="00906583" w:rsidP="00686D8F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06583">
        <w:rPr>
          <w:rFonts w:cs="Arial"/>
        </w:rPr>
        <w:t xml:space="preserve">No que diz respeito ao </w:t>
      </w:r>
      <w:r>
        <w:rPr>
          <w:rFonts w:cs="Arial"/>
        </w:rPr>
        <w:t xml:space="preserve">prazo </w:t>
      </w:r>
      <w:r w:rsidRPr="00906583">
        <w:rPr>
          <w:rFonts w:cs="Arial"/>
        </w:rPr>
        <w:t>para iniciar o inventário observamos que o CPC/2015 destaca em seu artigo 611 que haverá prazo para início e fim</w:t>
      </w:r>
      <w:r>
        <w:rPr>
          <w:rFonts w:cs="Arial"/>
        </w:rPr>
        <w:t>:</w:t>
      </w:r>
    </w:p>
    <w:p w14:paraId="352AB448" w14:textId="6CB4B8F2" w:rsidR="00686D8F" w:rsidRPr="00686D8F" w:rsidRDefault="00906583" w:rsidP="00686D8F">
      <w:pPr>
        <w:ind w:left="3545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2"/>
        </w:rPr>
        <w:t>“</w:t>
      </w:r>
      <w:r w:rsidR="00686D8F" w:rsidRPr="00686D8F">
        <w:rPr>
          <w:rFonts w:asciiTheme="minorHAnsi" w:hAnsiTheme="minorHAnsi" w:cstheme="minorHAnsi"/>
          <w:color w:val="000000"/>
          <w:sz w:val="22"/>
        </w:rPr>
        <w:t>Art. 611. O processo de inventário e de partilha deve ser instaurado dentro de 2 (dois) meses, a contar da abertura da sucessão, ultimando-se nos 12 (doze) meses subsequentes, podendo o juiz prorrogar esses prazos, de ofício ou a requerimento de parte.</w:t>
      </w:r>
      <w:r>
        <w:rPr>
          <w:rFonts w:asciiTheme="minorHAnsi" w:hAnsiTheme="minorHAnsi" w:cstheme="minorHAnsi"/>
          <w:color w:val="000000"/>
          <w:sz w:val="22"/>
        </w:rPr>
        <w:t>”</w:t>
      </w:r>
    </w:p>
    <w:p w14:paraId="4FC8906B" w14:textId="23750A30" w:rsidR="00686D8F" w:rsidRDefault="00686D8F" w:rsidP="00686D8F">
      <w:pPr>
        <w:jc w:val="both"/>
        <w:rPr>
          <w:rFonts w:cs="Arial"/>
        </w:rPr>
      </w:pPr>
    </w:p>
    <w:p w14:paraId="21E817F1" w14:textId="73AA349D" w:rsidR="00906583" w:rsidRDefault="00906583" w:rsidP="0090658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Uma vez que o falecimento do </w:t>
      </w:r>
      <w:r w:rsidRPr="00686D8F">
        <w:rPr>
          <w:rFonts w:cs="Arial"/>
          <w:b/>
        </w:rPr>
        <w:t>Executado</w:t>
      </w:r>
      <w:r>
        <w:rPr>
          <w:rFonts w:cs="Arial"/>
          <w:b/>
        </w:rPr>
        <w:t xml:space="preserve"> </w:t>
      </w:r>
      <w:r>
        <w:rPr>
          <w:rFonts w:cs="Arial"/>
        </w:rPr>
        <w:t>ocorreu na data de 03/08/2018</w:t>
      </w:r>
      <w:r>
        <w:rPr>
          <w:rFonts w:cs="Arial"/>
        </w:rPr>
        <w:t xml:space="preserve">, </w:t>
      </w:r>
      <w:r w:rsidR="003662C1">
        <w:rPr>
          <w:rFonts w:cs="Arial"/>
        </w:rPr>
        <w:t xml:space="preserve">iniciou-se a sucessão, sendo certo que </w:t>
      </w:r>
      <w:r>
        <w:rPr>
          <w:rFonts w:cs="Arial"/>
        </w:rPr>
        <w:t xml:space="preserve">a família concluiu todo o procedimento do inventário na data de 21/12/2018, dentro do prazo de 12 meses subsequentes ao falecimento como determina o Código de </w:t>
      </w:r>
      <w:r w:rsidR="003662C1">
        <w:rPr>
          <w:rFonts w:cs="Arial"/>
        </w:rPr>
        <w:t>P</w:t>
      </w:r>
      <w:r>
        <w:rPr>
          <w:rFonts w:cs="Arial"/>
        </w:rPr>
        <w:t>rocesso Civil.</w:t>
      </w:r>
    </w:p>
    <w:p w14:paraId="15C2C1B6" w14:textId="3133ED6C" w:rsidR="00BD2044" w:rsidRDefault="00BD2044" w:rsidP="006B4F3E">
      <w:pPr>
        <w:shd w:val="clear" w:color="auto" w:fill="FFFFFF"/>
        <w:jc w:val="both"/>
        <w:rPr>
          <w:rFonts w:cs="Arial"/>
        </w:rPr>
      </w:pPr>
    </w:p>
    <w:p w14:paraId="558092A9" w14:textId="1CF2E4A8" w:rsidR="00BD2044" w:rsidRDefault="00BD2044" w:rsidP="006B4F3E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De acordo com o Novo Código de Processo Civil, incumbe ao Credor fazer a </w:t>
      </w:r>
      <w:r w:rsidRPr="00BD2044">
        <w:rPr>
          <w:rFonts w:cs="Arial"/>
          <w:b/>
          <w:u w:val="single"/>
        </w:rPr>
        <w:t>Averbação Premonitória</w:t>
      </w:r>
      <w:r>
        <w:rPr>
          <w:rFonts w:cs="Arial"/>
        </w:rPr>
        <w:t xml:space="preserve"> nos registros dos bens do </w:t>
      </w:r>
      <w:r w:rsidRPr="00BD2044">
        <w:rPr>
          <w:rFonts w:cs="Arial"/>
          <w:b/>
        </w:rPr>
        <w:t>Executado</w:t>
      </w:r>
      <w:r>
        <w:rPr>
          <w:rFonts w:cs="Arial"/>
          <w:b/>
        </w:rPr>
        <w:t>.</w:t>
      </w:r>
    </w:p>
    <w:p w14:paraId="2A8843E4" w14:textId="77777777" w:rsidR="00BD2044" w:rsidRDefault="00BD2044" w:rsidP="006B4F3E">
      <w:pPr>
        <w:shd w:val="clear" w:color="auto" w:fill="FFFFFF"/>
        <w:jc w:val="both"/>
        <w:rPr>
          <w:rFonts w:cs="Arial"/>
        </w:rPr>
      </w:pPr>
    </w:p>
    <w:p w14:paraId="25F1E419" w14:textId="7BED0001" w:rsidR="00130AEE" w:rsidRPr="00130AEE" w:rsidRDefault="00BD2044" w:rsidP="00130AEE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30AEE" w:rsidRPr="00130AEE">
        <w:rPr>
          <w:rFonts w:cs="Arial"/>
        </w:rPr>
        <w:t xml:space="preserve">A possibilidade de ser efetivada a </w:t>
      </w:r>
      <w:r w:rsidR="002473EB" w:rsidRPr="002473EB">
        <w:rPr>
          <w:rFonts w:cs="Arial"/>
          <w:b/>
        </w:rPr>
        <w:t>Averbação P</w:t>
      </w:r>
      <w:r w:rsidR="00130AEE" w:rsidRPr="002473EB">
        <w:rPr>
          <w:rFonts w:cs="Arial"/>
          <w:b/>
        </w:rPr>
        <w:t>remonitória</w:t>
      </w:r>
      <w:r w:rsidR="00130AEE" w:rsidRPr="00130AEE">
        <w:rPr>
          <w:rFonts w:cs="Arial"/>
        </w:rPr>
        <w:t xml:space="preserve"> da execução nos registros dos bens do executado está prevista no artigo 828 do Código de Processo Civil:</w:t>
      </w:r>
    </w:p>
    <w:p w14:paraId="4BC85C36" w14:textId="77777777" w:rsidR="00130AEE" w:rsidRPr="00130AEE" w:rsidRDefault="00130AEE" w:rsidP="00130AEE">
      <w:pPr>
        <w:shd w:val="clear" w:color="auto" w:fill="FFFFFF"/>
        <w:jc w:val="both"/>
        <w:rPr>
          <w:rFonts w:cs="Arial"/>
        </w:rPr>
      </w:pPr>
    </w:p>
    <w:p w14:paraId="66EF90B8" w14:textId="1F3BEAFE" w:rsidR="00130AEE" w:rsidRPr="00BD2044" w:rsidRDefault="00130AEE" w:rsidP="00BD2044">
      <w:pPr>
        <w:shd w:val="clear" w:color="auto" w:fill="FFFFFF"/>
        <w:ind w:left="3545"/>
        <w:jc w:val="both"/>
        <w:rPr>
          <w:rFonts w:asciiTheme="minorHAnsi" w:hAnsiTheme="minorHAnsi" w:cstheme="minorHAnsi"/>
        </w:rPr>
      </w:pPr>
      <w:r w:rsidRPr="00BD2044">
        <w:rPr>
          <w:rFonts w:asciiTheme="minorHAnsi" w:hAnsiTheme="minorHAnsi" w:cstheme="minorHAnsi"/>
          <w:sz w:val="22"/>
        </w:rPr>
        <w:t>“Art. 828. O exequente poderá obter certidão de que a execução foi admitida pelo juiz, com identificação das partes e do valor da causa, para fins de averbação no registro de imóveis, de veículos ou de outros bens sujeitos a penhora, arresto ou indisponibilidade.</w:t>
      </w:r>
    </w:p>
    <w:p w14:paraId="58B2CB11" w14:textId="053C2D8A" w:rsidR="00130AEE" w:rsidRDefault="00130AEE" w:rsidP="00130AEE">
      <w:pPr>
        <w:shd w:val="clear" w:color="auto" w:fill="FFFFFF"/>
        <w:jc w:val="both"/>
        <w:rPr>
          <w:rFonts w:cs="Arial"/>
        </w:rPr>
      </w:pPr>
    </w:p>
    <w:p w14:paraId="4AC1A3C1" w14:textId="4845EA97" w:rsidR="00F02514" w:rsidRDefault="00130AEE" w:rsidP="00924056">
      <w:pPr>
        <w:shd w:val="clear" w:color="auto" w:fill="FFFFFF"/>
        <w:jc w:val="both"/>
        <w:rPr>
          <w:rFonts w:cs="Arial"/>
          <w:color w:val="202124"/>
          <w:shd w:val="clear" w:color="auto" w:fill="FFFFFF"/>
        </w:rPr>
      </w:pPr>
      <w:r>
        <w:rPr>
          <w:rFonts w:cs="Arial"/>
          <w:b/>
          <w:bCs/>
          <w:color w:val="202124"/>
          <w:shd w:val="clear" w:color="auto" w:fill="FFFFFF"/>
        </w:rPr>
        <w:t xml:space="preserve"> </w:t>
      </w:r>
      <w:r>
        <w:rPr>
          <w:rFonts w:cs="Arial"/>
          <w:b/>
          <w:bCs/>
          <w:color w:val="202124"/>
          <w:shd w:val="clear" w:color="auto" w:fill="FFFFFF"/>
        </w:rPr>
        <w:tab/>
      </w:r>
      <w:r>
        <w:rPr>
          <w:rFonts w:cs="Arial"/>
          <w:b/>
          <w:bCs/>
          <w:color w:val="202124"/>
          <w:shd w:val="clear" w:color="auto" w:fill="FFFFFF"/>
        </w:rPr>
        <w:tab/>
      </w:r>
      <w:r>
        <w:rPr>
          <w:rFonts w:cs="Arial"/>
          <w:b/>
          <w:bCs/>
          <w:color w:val="202124"/>
          <w:shd w:val="clear" w:color="auto" w:fill="FFFFFF"/>
        </w:rPr>
        <w:tab/>
      </w:r>
      <w:r>
        <w:rPr>
          <w:rFonts w:cs="Arial"/>
          <w:b/>
          <w:bCs/>
          <w:color w:val="202124"/>
          <w:shd w:val="clear" w:color="auto" w:fill="FFFFFF"/>
        </w:rPr>
        <w:tab/>
      </w:r>
      <w:r w:rsidRPr="00130AEE">
        <w:rPr>
          <w:rFonts w:cs="Arial"/>
          <w:bCs/>
          <w:color w:val="202124"/>
          <w:shd w:val="clear" w:color="auto" w:fill="FFFFFF"/>
        </w:rPr>
        <w:t xml:space="preserve">A </w:t>
      </w:r>
      <w:r w:rsidR="002473EB" w:rsidRPr="002473EB">
        <w:rPr>
          <w:rFonts w:cs="Arial"/>
          <w:b/>
          <w:bCs/>
          <w:color w:val="202124"/>
          <w:shd w:val="clear" w:color="auto" w:fill="FFFFFF"/>
        </w:rPr>
        <w:t>Av</w:t>
      </w:r>
      <w:r w:rsidR="002473EB">
        <w:rPr>
          <w:rFonts w:cs="Arial"/>
          <w:b/>
          <w:bCs/>
          <w:color w:val="202124"/>
          <w:shd w:val="clear" w:color="auto" w:fill="FFFFFF"/>
        </w:rPr>
        <w:t>erbação P</w:t>
      </w:r>
      <w:r>
        <w:rPr>
          <w:rFonts w:cs="Arial"/>
          <w:b/>
          <w:bCs/>
          <w:color w:val="202124"/>
          <w:shd w:val="clear" w:color="auto" w:fill="FFFFFF"/>
        </w:rPr>
        <w:t>remonitória</w:t>
      </w:r>
      <w:r>
        <w:rPr>
          <w:rFonts w:cs="Arial"/>
          <w:color w:val="202124"/>
          <w:shd w:val="clear" w:color="auto" w:fill="FFFFFF"/>
        </w:rPr>
        <w:t xml:space="preserve"> consiste no ato pelo qual se atribui publicidade </w:t>
      </w:r>
      <w:r w:rsidR="002473EB" w:rsidRPr="002473EB">
        <w:rPr>
          <w:rFonts w:cs="Arial"/>
          <w:i/>
          <w:color w:val="202124"/>
          <w:shd w:val="clear" w:color="auto" w:fill="FFFFFF"/>
        </w:rPr>
        <w:t>“</w:t>
      </w:r>
      <w:r w:rsidRPr="002473EB">
        <w:rPr>
          <w:rFonts w:cs="Arial"/>
          <w:i/>
          <w:color w:val="202124"/>
          <w:shd w:val="clear" w:color="auto" w:fill="FFFFFF"/>
        </w:rPr>
        <w:t>erga omnes</w:t>
      </w:r>
      <w:r w:rsidR="002473EB" w:rsidRPr="002473EB">
        <w:rPr>
          <w:rFonts w:cs="Arial"/>
          <w:i/>
          <w:color w:val="202124"/>
          <w:shd w:val="clear" w:color="auto" w:fill="FFFFFF"/>
        </w:rPr>
        <w:t>”</w:t>
      </w:r>
      <w:r>
        <w:rPr>
          <w:rFonts w:cs="Arial"/>
          <w:color w:val="202124"/>
          <w:shd w:val="clear" w:color="auto" w:fill="FFFFFF"/>
        </w:rPr>
        <w:t xml:space="preserve"> à demanda judicial que tramita contra o propriet</w:t>
      </w:r>
      <w:r w:rsidR="00D030DC">
        <w:rPr>
          <w:rFonts w:cs="Arial"/>
          <w:color w:val="202124"/>
          <w:shd w:val="clear" w:color="auto" w:fill="FFFFFF"/>
        </w:rPr>
        <w:t>ário de bem sujeito a registro.</w:t>
      </w:r>
    </w:p>
    <w:p w14:paraId="3D457487" w14:textId="77777777" w:rsidR="00CF028C" w:rsidRDefault="00CF028C" w:rsidP="00924056">
      <w:pPr>
        <w:shd w:val="clear" w:color="auto" w:fill="FFFFFF"/>
        <w:jc w:val="both"/>
        <w:rPr>
          <w:rFonts w:cs="Arial"/>
        </w:rPr>
      </w:pPr>
      <w:bookmarkStart w:id="0" w:name="_GoBack"/>
      <w:bookmarkEnd w:id="0"/>
    </w:p>
    <w:p w14:paraId="00D84CA4" w14:textId="4A70911D" w:rsidR="00EB47E4" w:rsidRDefault="00EB47E4" w:rsidP="00EB47E4">
      <w:pPr>
        <w:jc w:val="both"/>
        <w:rPr>
          <w:rFonts w:cs="Arial"/>
          <w:bCs/>
        </w:rPr>
      </w:pPr>
      <w:r w:rsidRPr="00EB47E4">
        <w:rPr>
          <w:rFonts w:cs="Arial"/>
          <w:bCs/>
        </w:rPr>
        <w:t xml:space="preserve"> </w:t>
      </w:r>
      <w:r w:rsidRPr="00EB47E4">
        <w:rPr>
          <w:rFonts w:cs="Arial"/>
          <w:bCs/>
        </w:rPr>
        <w:tab/>
      </w:r>
      <w:r w:rsidRPr="00EB47E4">
        <w:rPr>
          <w:rFonts w:cs="Arial"/>
          <w:bCs/>
        </w:rPr>
        <w:tab/>
      </w:r>
      <w:r w:rsidRPr="00EB47E4">
        <w:rPr>
          <w:rFonts w:cs="Arial"/>
          <w:bCs/>
        </w:rPr>
        <w:tab/>
      </w:r>
      <w:r w:rsidRPr="00EB47E4">
        <w:rPr>
          <w:rFonts w:cs="Arial"/>
          <w:bCs/>
        </w:rPr>
        <w:tab/>
        <w:t xml:space="preserve">A </w:t>
      </w:r>
      <w:r w:rsidRPr="00EB47E4">
        <w:rPr>
          <w:rFonts w:cs="Arial"/>
          <w:bCs/>
        </w:rPr>
        <w:t xml:space="preserve">efetivação da </w:t>
      </w:r>
      <w:r w:rsidR="001132DD" w:rsidRPr="001132DD">
        <w:rPr>
          <w:rFonts w:cs="Arial"/>
          <w:b/>
          <w:bCs/>
        </w:rPr>
        <w:t>Averbação Premonitória</w:t>
      </w:r>
      <w:r w:rsidRPr="00EB47E4">
        <w:rPr>
          <w:rFonts w:cs="Arial"/>
          <w:bCs/>
        </w:rPr>
        <w:t xml:space="preserve"> </w:t>
      </w:r>
      <w:r w:rsidRPr="00EB47E4">
        <w:rPr>
          <w:rFonts w:cs="Arial"/>
          <w:bCs/>
        </w:rPr>
        <w:t>se presta a dar publicidade aos terceiros de boa fé dos riscos do negócio jurídico concernente</w:t>
      </w:r>
      <w:r w:rsidRPr="00EB47E4">
        <w:rPr>
          <w:rFonts w:cs="Arial"/>
          <w:bCs/>
        </w:rPr>
        <w:t>s a um determinado bem</w:t>
      </w:r>
      <w:r w:rsidRPr="00EB47E4">
        <w:rPr>
          <w:rFonts w:cs="Arial"/>
          <w:bCs/>
        </w:rPr>
        <w:t>, que poderá ser objeto de alienação na ação executiva.</w:t>
      </w:r>
    </w:p>
    <w:p w14:paraId="5B7BD914" w14:textId="77777777" w:rsidR="004D282E" w:rsidRPr="00EB47E4" w:rsidRDefault="004D282E" w:rsidP="00EB47E4">
      <w:pPr>
        <w:jc w:val="both"/>
        <w:rPr>
          <w:rFonts w:cs="Arial"/>
          <w:bCs/>
        </w:rPr>
      </w:pPr>
    </w:p>
    <w:p w14:paraId="3871FAF9" w14:textId="143706EF" w:rsidR="00333C59" w:rsidRDefault="00924056" w:rsidP="00924056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Como se nota das matrículas do imóvel de </w:t>
      </w:r>
      <w:r w:rsidRPr="00924056">
        <w:rPr>
          <w:rFonts w:cs="Arial"/>
        </w:rPr>
        <w:t>registro R.</w:t>
      </w:r>
      <w:r>
        <w:rPr>
          <w:rFonts w:cs="Arial"/>
        </w:rPr>
        <w:t xml:space="preserve"> </w:t>
      </w:r>
      <w:r w:rsidRPr="00924056">
        <w:rPr>
          <w:rFonts w:cs="Arial"/>
        </w:rPr>
        <w:t>8 da matrícula imob</w:t>
      </w:r>
      <w:r>
        <w:rPr>
          <w:rFonts w:cs="Arial"/>
        </w:rPr>
        <w:t xml:space="preserve">iliária nº 5.973 (id 2f43ef7), não havia qualquer prenotação a respeito do presente processo de execução, o que afasta qualquer tipo de subterfugio para descaracterizar a execução, tanto que a </w:t>
      </w:r>
      <w:r w:rsidRPr="001132DD">
        <w:rPr>
          <w:rFonts w:cs="Arial"/>
          <w:b/>
        </w:rPr>
        <w:t>única Herdeira</w:t>
      </w:r>
      <w:r>
        <w:rPr>
          <w:rFonts w:cs="Arial"/>
        </w:rPr>
        <w:t xml:space="preserve"> atendeu de pronto o chamado do juízo quando citada para responder nos autos</w:t>
      </w:r>
      <w:r w:rsidR="00EB47E4">
        <w:rPr>
          <w:rFonts w:cs="Arial"/>
        </w:rPr>
        <w:t xml:space="preserve">, apresentando defesa que </w:t>
      </w:r>
      <w:r w:rsidR="001132DD">
        <w:rPr>
          <w:rFonts w:cs="Arial"/>
        </w:rPr>
        <w:t>entendia</w:t>
      </w:r>
      <w:r w:rsidR="00EB47E4">
        <w:rPr>
          <w:rFonts w:cs="Arial"/>
        </w:rPr>
        <w:t xml:space="preserve"> cabível</w:t>
      </w:r>
      <w:r>
        <w:rPr>
          <w:rFonts w:cs="Arial"/>
        </w:rPr>
        <w:t>.</w:t>
      </w:r>
    </w:p>
    <w:p w14:paraId="0151DEF2" w14:textId="77777777" w:rsidR="00924056" w:rsidRPr="00885B82" w:rsidRDefault="00924056" w:rsidP="00924056">
      <w:pPr>
        <w:shd w:val="clear" w:color="auto" w:fill="FFFFFF"/>
        <w:jc w:val="both"/>
        <w:rPr>
          <w:rFonts w:cs="Arial"/>
        </w:rPr>
      </w:pPr>
    </w:p>
    <w:p w14:paraId="7401BA8B" w14:textId="42EB88F2" w:rsidR="00A207AB" w:rsidRPr="00885B82" w:rsidRDefault="00C81385" w:rsidP="00A207AB">
      <w:pPr>
        <w:jc w:val="both"/>
        <w:rPr>
          <w:rFonts w:cs="Arial"/>
          <w:bCs/>
        </w:rPr>
      </w:pPr>
      <w:r w:rsidRPr="00885B82">
        <w:rPr>
          <w:rFonts w:cs="Arial"/>
          <w:b/>
          <w:bCs/>
        </w:rPr>
        <w:t xml:space="preserve"> </w:t>
      </w:r>
      <w:r w:rsidRPr="00885B82">
        <w:rPr>
          <w:rFonts w:cs="Arial"/>
          <w:b/>
          <w:bCs/>
        </w:rPr>
        <w:tab/>
      </w:r>
      <w:r w:rsidRPr="00885B82">
        <w:rPr>
          <w:rFonts w:cs="Arial"/>
          <w:b/>
          <w:bCs/>
        </w:rPr>
        <w:tab/>
      </w:r>
      <w:r w:rsidRPr="00885B82">
        <w:rPr>
          <w:rFonts w:cs="Arial"/>
          <w:b/>
          <w:bCs/>
        </w:rPr>
        <w:tab/>
      </w:r>
      <w:r w:rsidRPr="00885B82">
        <w:rPr>
          <w:rFonts w:cs="Arial"/>
          <w:b/>
          <w:bCs/>
        </w:rPr>
        <w:tab/>
      </w:r>
      <w:r w:rsidRPr="00885B82">
        <w:rPr>
          <w:rFonts w:cs="Arial"/>
          <w:bCs/>
        </w:rPr>
        <w:t>Nota-se ainda que a lei de regência determina que:</w:t>
      </w:r>
    </w:p>
    <w:p w14:paraId="60F18E98" w14:textId="77777777" w:rsidR="00C81385" w:rsidRPr="00885B82" w:rsidRDefault="00C81385" w:rsidP="00A207AB">
      <w:pPr>
        <w:jc w:val="both"/>
        <w:rPr>
          <w:rFonts w:cs="Arial"/>
          <w:bCs/>
        </w:rPr>
      </w:pPr>
    </w:p>
    <w:p w14:paraId="015E6282" w14:textId="557794CE" w:rsidR="00A207AB" w:rsidRPr="00C81385" w:rsidRDefault="00C81385" w:rsidP="00C81385">
      <w:pPr>
        <w:ind w:left="354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“</w:t>
      </w:r>
      <w:r w:rsidR="00A207AB" w:rsidRPr="00C81385">
        <w:rPr>
          <w:rFonts w:asciiTheme="minorHAnsi" w:hAnsiTheme="minorHAnsi" w:cstheme="minorHAnsi"/>
          <w:bCs/>
          <w:sz w:val="22"/>
        </w:rPr>
        <w:t>Art. 792. A alienação ou a oneração de bem é considerada fraude à execução:</w:t>
      </w:r>
    </w:p>
    <w:p w14:paraId="19EE0C6A" w14:textId="77777777" w:rsidR="00A207AB" w:rsidRPr="00A207AB" w:rsidRDefault="00A207AB" w:rsidP="00C81385">
      <w:pPr>
        <w:ind w:left="3545"/>
        <w:jc w:val="both"/>
        <w:rPr>
          <w:rFonts w:ascii="Times New Roman" w:hAnsi="Times New Roman"/>
          <w:bCs/>
        </w:rPr>
      </w:pPr>
      <w:r w:rsidRPr="00C81385">
        <w:rPr>
          <w:rFonts w:asciiTheme="minorHAnsi" w:hAnsiTheme="minorHAnsi" w:cstheme="minorHAnsi"/>
          <w:bCs/>
          <w:sz w:val="22"/>
        </w:rPr>
        <w:t>II – quando tiver sido averbada, no registro do bem, a pendência do processo de execução, na forma do art. 828.”</w:t>
      </w:r>
    </w:p>
    <w:p w14:paraId="5C5EFF22" w14:textId="77777777" w:rsidR="00A207AB" w:rsidRPr="00885B82" w:rsidRDefault="00A207AB" w:rsidP="00A207AB">
      <w:pPr>
        <w:jc w:val="both"/>
        <w:rPr>
          <w:rFonts w:cs="Arial"/>
          <w:bCs/>
        </w:rPr>
      </w:pPr>
    </w:p>
    <w:p w14:paraId="121F73F7" w14:textId="1FBA724F" w:rsidR="005556CA" w:rsidRDefault="00885B82" w:rsidP="00A207AB">
      <w:pPr>
        <w:jc w:val="both"/>
        <w:rPr>
          <w:rFonts w:cs="Arial"/>
          <w:bCs/>
        </w:rPr>
      </w:pPr>
      <w:r w:rsidRPr="00885B82">
        <w:rPr>
          <w:rFonts w:cs="Arial"/>
          <w:bCs/>
        </w:rPr>
        <w:t xml:space="preserve"> </w:t>
      </w:r>
      <w:r w:rsidRPr="00885B82">
        <w:rPr>
          <w:rFonts w:cs="Arial"/>
          <w:bCs/>
        </w:rPr>
        <w:tab/>
      </w:r>
      <w:r w:rsidRPr="00885B82">
        <w:rPr>
          <w:rFonts w:cs="Arial"/>
          <w:bCs/>
        </w:rPr>
        <w:tab/>
      </w:r>
      <w:r w:rsidRPr="00885B82">
        <w:rPr>
          <w:rFonts w:cs="Arial"/>
          <w:bCs/>
        </w:rPr>
        <w:tab/>
      </w:r>
      <w:r w:rsidRPr="00885B82">
        <w:rPr>
          <w:rFonts w:cs="Arial"/>
          <w:bCs/>
        </w:rPr>
        <w:tab/>
      </w:r>
      <w:r w:rsidR="00A207AB" w:rsidRPr="00885B82">
        <w:rPr>
          <w:rFonts w:cs="Arial"/>
          <w:bCs/>
        </w:rPr>
        <w:t>O artigo referido na alínea II trata justamente da averbação premonitória</w:t>
      </w:r>
      <w:r w:rsidR="005556CA">
        <w:rPr>
          <w:rFonts w:cs="Arial"/>
          <w:bCs/>
        </w:rPr>
        <w:t>, que se</w:t>
      </w:r>
      <w:r w:rsidR="00A207AB" w:rsidRPr="00885B82">
        <w:rPr>
          <w:rFonts w:cs="Arial"/>
          <w:bCs/>
        </w:rPr>
        <w:t>rve de marco para a presunção de fraude à execução</w:t>
      </w:r>
      <w:r w:rsidR="00DF4FBE">
        <w:rPr>
          <w:rFonts w:cs="Arial"/>
          <w:bCs/>
        </w:rPr>
        <w:t>, o que no presente caso não ocorreu, na medida que o</w:t>
      </w:r>
      <w:r w:rsidR="00DF4FBE" w:rsidRPr="00C30C02">
        <w:rPr>
          <w:rFonts w:cs="Arial"/>
          <w:b/>
          <w:bCs/>
        </w:rPr>
        <w:t xml:space="preserve"> </w:t>
      </w:r>
      <w:r w:rsidR="00C30C02" w:rsidRPr="00C30C02">
        <w:rPr>
          <w:rFonts w:cs="Arial"/>
          <w:b/>
          <w:bCs/>
        </w:rPr>
        <w:t>Exequente</w:t>
      </w:r>
      <w:r w:rsidR="00DF4FBE">
        <w:rPr>
          <w:rFonts w:cs="Arial"/>
          <w:bCs/>
        </w:rPr>
        <w:t xml:space="preserve"> não efetuou qualquer averbação na matrícula do imóvel</w:t>
      </w:r>
      <w:r w:rsidR="000759C0">
        <w:rPr>
          <w:rFonts w:cs="Arial"/>
          <w:bCs/>
        </w:rPr>
        <w:t>, tornando válida a alienação do bem.</w:t>
      </w:r>
    </w:p>
    <w:p w14:paraId="43B6A3C6" w14:textId="15F6DFFA" w:rsidR="00333C59" w:rsidRPr="00642FC6" w:rsidRDefault="00333C59" w:rsidP="00EB2321">
      <w:pPr>
        <w:shd w:val="clear" w:color="auto" w:fill="FFFFFF"/>
        <w:jc w:val="both"/>
        <w:rPr>
          <w:rFonts w:cs="Arial"/>
          <w:sz w:val="22"/>
        </w:rPr>
      </w:pPr>
    </w:p>
    <w:p w14:paraId="33456D74" w14:textId="46CACEA3" w:rsidR="002147C0" w:rsidRDefault="002147C0" w:rsidP="00642FC6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42FC6" w:rsidRPr="00642FC6">
        <w:rPr>
          <w:rFonts w:cs="Arial"/>
        </w:rPr>
        <w:t xml:space="preserve">De acordo com a </w:t>
      </w:r>
      <w:r w:rsidR="00642FC6" w:rsidRPr="002147C0">
        <w:rPr>
          <w:rFonts w:cs="Arial"/>
          <w:b/>
        </w:rPr>
        <w:t>Súmula 375 do colendo Superior Tribunal de Justiça,</w:t>
      </w:r>
      <w:r w:rsidR="00642FC6" w:rsidRPr="00642FC6">
        <w:rPr>
          <w:rFonts w:cs="Arial"/>
        </w:rPr>
        <w:t xml:space="preserve"> </w:t>
      </w:r>
      <w:r>
        <w:rPr>
          <w:rFonts w:cs="Arial"/>
        </w:rPr>
        <w:t>“</w:t>
      </w:r>
      <w:r w:rsidR="00642FC6" w:rsidRPr="00642FC6">
        <w:rPr>
          <w:rFonts w:cs="Arial"/>
        </w:rPr>
        <w:t xml:space="preserve">o reconhecimento da fraude à execução depende do registro da penhora do bem alienado ou da prova </w:t>
      </w:r>
      <w:r>
        <w:rPr>
          <w:rFonts w:cs="Arial"/>
        </w:rPr>
        <w:t>de má-fé do terceiro adquirente”. Veja-se ainda o julgado:</w:t>
      </w:r>
    </w:p>
    <w:p w14:paraId="29FBD3A5" w14:textId="77777777" w:rsidR="002147C0" w:rsidRDefault="002147C0" w:rsidP="00642FC6">
      <w:pPr>
        <w:shd w:val="clear" w:color="auto" w:fill="FFFFFF"/>
        <w:jc w:val="both"/>
        <w:rPr>
          <w:rFonts w:cs="Arial"/>
        </w:rPr>
      </w:pPr>
    </w:p>
    <w:p w14:paraId="3E1E399F" w14:textId="77777777" w:rsidR="001E6536" w:rsidRDefault="002147C0" w:rsidP="002147C0">
      <w:pPr>
        <w:shd w:val="clear" w:color="auto" w:fill="FFFFFF"/>
        <w:ind w:left="3545"/>
        <w:jc w:val="both"/>
        <w:rPr>
          <w:rFonts w:asciiTheme="minorHAnsi" w:hAnsiTheme="minorHAnsi" w:cstheme="minorHAnsi"/>
          <w:sz w:val="20"/>
        </w:rPr>
      </w:pPr>
      <w:r w:rsidRPr="002147C0">
        <w:rPr>
          <w:rFonts w:asciiTheme="minorHAnsi" w:hAnsiTheme="minorHAnsi" w:cstheme="minorHAnsi"/>
          <w:sz w:val="20"/>
        </w:rPr>
        <w:t xml:space="preserve">1. De acordo com a Súmula 375 do colendo Superior Tribunal de Justiça, o reconhecimento da fraude à execução depende do registro da penhora do bem alienado ou da prova de má-fé do terceiro adquirente. </w:t>
      </w:r>
    </w:p>
    <w:p w14:paraId="4389B4BF" w14:textId="703A63A5" w:rsidR="002147C0" w:rsidRPr="002147C0" w:rsidRDefault="002147C0" w:rsidP="002147C0">
      <w:pPr>
        <w:shd w:val="clear" w:color="auto" w:fill="FFFFFF"/>
        <w:ind w:left="3545"/>
        <w:jc w:val="both"/>
        <w:rPr>
          <w:rFonts w:asciiTheme="minorHAnsi" w:hAnsiTheme="minorHAnsi" w:cstheme="minorHAnsi"/>
          <w:sz w:val="20"/>
        </w:rPr>
      </w:pPr>
      <w:r w:rsidRPr="002147C0">
        <w:rPr>
          <w:rFonts w:asciiTheme="minorHAnsi" w:hAnsiTheme="minorHAnsi" w:cstheme="minorHAnsi"/>
          <w:sz w:val="20"/>
        </w:rPr>
        <w:t xml:space="preserve">2. Nos casos em que não houver registro prévio da existência de ação contra o alienante do imóvel ou de penhora na matrícula do imóvel alienado a terceiro, caberá ao credor comprovar a </w:t>
      </w:r>
      <w:r w:rsidRPr="002147C0">
        <w:rPr>
          <w:rFonts w:asciiTheme="minorHAnsi" w:hAnsiTheme="minorHAnsi" w:cstheme="minorHAnsi"/>
          <w:sz w:val="20"/>
        </w:rPr>
        <w:t>má-fé por parte do adquirente.</w:t>
      </w:r>
    </w:p>
    <w:p w14:paraId="7DB71DBA" w14:textId="5308BA1A" w:rsidR="002147C0" w:rsidRDefault="002147C0" w:rsidP="002147C0">
      <w:pPr>
        <w:shd w:val="clear" w:color="auto" w:fill="FFFFFF"/>
        <w:ind w:left="3545"/>
        <w:jc w:val="both"/>
        <w:rPr>
          <w:rFonts w:asciiTheme="minorHAnsi" w:hAnsiTheme="minorHAnsi" w:cstheme="minorHAnsi"/>
          <w:b/>
          <w:sz w:val="20"/>
        </w:rPr>
      </w:pPr>
      <w:r w:rsidRPr="002147C0">
        <w:rPr>
          <w:rFonts w:asciiTheme="minorHAnsi" w:hAnsiTheme="minorHAnsi" w:cstheme="minorHAnsi"/>
          <w:b/>
          <w:sz w:val="20"/>
        </w:rPr>
        <w:t xml:space="preserve">Acórdão 1412113, 07025181220218070002, Relatora: CARMEN BITTENCOURT, Primeira Turma Cível, data de julgamento: 30/3/2022, publicado no DJE: 28/4/2022. </w:t>
      </w:r>
    </w:p>
    <w:p w14:paraId="6DE94FC5" w14:textId="54CD3A55" w:rsidR="001E6536" w:rsidRDefault="001E6536" w:rsidP="001E6536">
      <w:pPr>
        <w:shd w:val="clear" w:color="auto" w:fill="FFFFFF"/>
        <w:jc w:val="both"/>
        <w:rPr>
          <w:rFonts w:asciiTheme="minorHAnsi" w:hAnsiTheme="minorHAnsi" w:cstheme="minorHAnsi"/>
          <w:b/>
          <w:sz w:val="20"/>
        </w:rPr>
      </w:pPr>
    </w:p>
    <w:p w14:paraId="01F73466" w14:textId="2C45D2FE" w:rsidR="002147C0" w:rsidRPr="001E6536" w:rsidRDefault="001E6536" w:rsidP="002147C0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Sendo este o entendimento pacífico no Tribunal Superior:</w:t>
      </w:r>
    </w:p>
    <w:p w14:paraId="58D37E15" w14:textId="0102015F" w:rsidR="00642FC6" w:rsidRDefault="00642FC6" w:rsidP="002147C0">
      <w:pPr>
        <w:shd w:val="clear" w:color="auto" w:fill="FFFFFF"/>
        <w:jc w:val="both"/>
        <w:rPr>
          <w:rFonts w:asciiTheme="minorHAnsi" w:hAnsiTheme="minorHAnsi" w:cs="Arial"/>
          <w:sz w:val="22"/>
        </w:rPr>
      </w:pPr>
    </w:p>
    <w:p w14:paraId="70DF4A81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b/>
          <w:spacing w:val="2"/>
          <w:sz w:val="22"/>
          <w:szCs w:val="30"/>
        </w:rPr>
        <w:t xml:space="preserve">PROCESSO CIVIL. RECURSO ESPECIAL. EMBARGOS DE TERCEIRO. FRAUDE À EXECUÇÃO. ALIENAÇÕES SUCESSIVAS. EXTENSÃO AUTOMÁTICA DA INEFICÁCIA DA PRIMEIRA ALIENAÇÃO ÀS TRANSAÇÕES SUBSEQUENTES. IMPOSSIBILIDADE. JULGAMENTO: CPC/2015. </w:t>
      </w:r>
    </w:p>
    <w:p w14:paraId="0016115A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1. Embargos de terceiro opostos em 07/05/2018, dos quais foi extraído o presente recurso especial interposto em 19/08/2019 e concluso ao gabinete em 28/08/2020. </w:t>
      </w:r>
    </w:p>
    <w:p w14:paraId="255ABD4B" w14:textId="285C98F2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2. O propósito recursal consiste em dizer sobre a configuração da fraude à execução em caso de alienações sucessivas. </w:t>
      </w:r>
    </w:p>
    <w:p w14:paraId="777D9B72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3. A fraude à execução atua no plano da eficácia, de modo que conduz à ineficácia da alienação ou oneração do bem em relação ao exequente (art. 592, V, do CPC/73; art. 792, § 2º, do CPC/2015). Em outros termos, é como se o ato fraudulento não tivesse existido para o credor. </w:t>
      </w:r>
    </w:p>
    <w:p w14:paraId="20E58AD2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4. As hipóteses em que a alienação ou oneração do bem são consideradas fraude à execução podem ser assim sintetizadas: (i) quando sobre o bem pender ação fundada em direito real ou com pretensão reipersecutória; (ii) quando tiver sido averbada, no registro do bem, a pendência do processo de execução; (iii) quando o bem tiver sido objeto de constrição judicial nos autos do processo no qual foi suscitada a fraude; (iv) quando, no momento da alienação ou oneração, tramitava contra o devedor ação capaz de reduzi-lo à insolvência (art. 593 do CPC/73 e art. 792 do CPC/2015). </w:t>
      </w:r>
    </w:p>
    <w:p w14:paraId="60C14D1E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lastRenderedPageBreak/>
        <w:t xml:space="preserve">5. Esta Corte tem entendimento sedimentado no sentido de que a inscrição da penhora no registro do bem não constitui elemento integrativo do ato, mas sim requisito de eficácia perante terceiros. Precedentes. Por essa razão, o prévio registro da penhora do bem constrito gera presunção absoluta (juris et de jure) de conhecimento para terceiros e, portanto, de fraude à execução caso o bem seja alienado ou onerado após a averbação (art. 659, § 4º, do CPC/73; art. 844 do CPC/2015). Presunção essa que também é aplicável à hipótese na qual o credor providenciou a averbação, à margem do registro, da pendência de ação de execução (art. 615-A, § 3º, do CPC/73; art. 828, § 4º, do CPC/2015). </w:t>
      </w:r>
    </w:p>
    <w:p w14:paraId="4D4D0149" w14:textId="77777777" w:rsidR="002147C0" w:rsidRPr="0062324E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b/>
          <w:spacing w:val="2"/>
          <w:sz w:val="22"/>
          <w:szCs w:val="30"/>
        </w:rPr>
      </w:pPr>
      <w:r w:rsidRPr="0062324E">
        <w:rPr>
          <w:rFonts w:asciiTheme="minorHAnsi" w:hAnsiTheme="minorHAnsi" w:cstheme="minorHAnsi"/>
          <w:b/>
          <w:spacing w:val="2"/>
          <w:sz w:val="22"/>
          <w:szCs w:val="30"/>
        </w:rPr>
        <w:t xml:space="preserve">6. Por outro lado, se o bem se sujeitar a registro e a penhora ou a ação de execução não tiver sido averbada no respectivo registro, tal circunstância não obsta, prima facie, o reconhecimento da fraude à execução. Nesse caso, entretanto, caberá ao credor comprovar a má-fé do terceiro; vale dizer, de que o adquirente tinha conhecimento acerca da pendência do processo. Essa orientação é consolidada na jurisprudência deste Tribunal Superior e está cristalizada na Súmula 375 do STJ e no julgamento do Tema 243. </w:t>
      </w:r>
    </w:p>
    <w:p w14:paraId="72F6C188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7. Desse modo, são pressupostos genéricos da fraude à execução: (i) processo judicial em curso em face do devedor/executado; (ii) registro, na matrícula do bem, da penhora ou outro ato de constrição judicial ou averbação premonitória ou, então, prova da má-fé do terceiro adquirente. </w:t>
      </w:r>
    </w:p>
    <w:p w14:paraId="2ED59D8C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8. Em caso de alienações sucessivas, inicialmente, é notório que não se exige a pendência de processo em face do alienante do qual o atual proprietário adquiriu o imóvel. Tal exigência, em atenção aos ditames legais (art. 593 do CPC/73 e art. 792 do CPC/2015), deve ser observada exclusivamente em relação ao devedor que figura no polo passivo da ação de conhecimento ou de execução. É dizer, a litispendência é pressuposto a ser analisado exclusivamente com relação àquele que tem relação jurídica com o credor. </w:t>
      </w:r>
    </w:p>
    <w:p w14:paraId="27135FA8" w14:textId="77777777" w:rsidR="002147C0" w:rsidRPr="0062324E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b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9. No que concerne ao requisito do registro da penhora ou da pendência de ação ou, então, da má-fé do adquirente, o reconhecimento da ineficácia da alienação originária, porque realizada em fraude à execução, não contamina, automaticamente, as alienações posteriores. Nessas situações, existindo registro da ação ou da penhora à margem da matrícula do bem imóvel alienado a terceiro, haverá presunção absoluta do conhecimento do adquirente sucessivo e, portanto, da ocorrência de fraude. </w:t>
      </w:r>
      <w:r w:rsidRPr="0062324E">
        <w:rPr>
          <w:rFonts w:asciiTheme="minorHAnsi" w:hAnsiTheme="minorHAnsi" w:cstheme="minorHAnsi"/>
          <w:b/>
          <w:spacing w:val="2"/>
          <w:sz w:val="22"/>
          <w:szCs w:val="30"/>
        </w:rPr>
        <w:t xml:space="preserve">Diversamente, se inexistente o registro do ato constritivo ou da ação, incumbe ao exequente/embargado a prova da má-fé do adquirente sucessivo. </w:t>
      </w:r>
    </w:p>
    <w:p w14:paraId="0D4B5EED" w14:textId="77777777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 xml:space="preserve">10. No particular, o imóvel não foi adquirido pelos recorridos (embargantes) diretamente dos executados, mas sim de terceiro que o comprou destes. Embora tenha sido reconhecida a fraude na primeira alienação, isto é, dos executados ao adquirente primitivo, o quadro fático delineado na origem revela que a credora não havia procedido à averbação, na matrícula do imóvel, da pendência de execução, tampouco se desincumbiu de comprovar a má-fé dos adquirentes posteriores; isto é, de que eles tinham conhecimento da existência de ação capaz de reduzir o devedor à insolvência. Não há que se falar, assim, em ineficácia da alienação subsequente. </w:t>
      </w:r>
    </w:p>
    <w:p w14:paraId="09F6167F" w14:textId="4ED99C3B" w:rsidR="002147C0" w:rsidRP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spacing w:val="2"/>
          <w:sz w:val="22"/>
          <w:szCs w:val="30"/>
        </w:rPr>
        <w:t>11. Recurso especial conhecido e desprovido.</w:t>
      </w:r>
    </w:p>
    <w:p w14:paraId="40C9CCDF" w14:textId="519BBC40" w:rsidR="002147C0" w:rsidRDefault="002147C0" w:rsidP="002147C0">
      <w:pPr>
        <w:pStyle w:val="NormalWeb"/>
        <w:shd w:val="clear" w:color="auto" w:fill="FFFFFF"/>
        <w:spacing w:before="0" w:beforeAutospacing="0" w:after="0" w:afterAutospacing="0"/>
        <w:ind w:left="3545"/>
        <w:jc w:val="both"/>
        <w:rPr>
          <w:rFonts w:asciiTheme="minorHAnsi" w:hAnsiTheme="minorHAnsi" w:cstheme="minorHAnsi"/>
          <w:b/>
          <w:spacing w:val="2"/>
          <w:sz w:val="22"/>
          <w:szCs w:val="30"/>
        </w:rPr>
      </w:pPr>
      <w:r w:rsidRPr="002147C0">
        <w:rPr>
          <w:rFonts w:asciiTheme="minorHAnsi" w:hAnsiTheme="minorHAnsi" w:cstheme="minorHAnsi"/>
          <w:b/>
          <w:spacing w:val="2"/>
          <w:sz w:val="22"/>
          <w:szCs w:val="30"/>
        </w:rPr>
        <w:t>(STJ - REsp: 1863999 SP 2020/0048011-4, Relator: Ministra NANCY ANDRIGHI, Data de Julgamento: 03/08/2021, T3 - TERCEIRA TURMA, Data de Publicação: DJe 09/08/2021)</w:t>
      </w:r>
      <w:r w:rsidR="0062324E">
        <w:rPr>
          <w:rFonts w:asciiTheme="minorHAnsi" w:hAnsiTheme="minorHAnsi" w:cstheme="minorHAnsi"/>
          <w:b/>
          <w:spacing w:val="2"/>
          <w:sz w:val="22"/>
          <w:szCs w:val="30"/>
        </w:rPr>
        <w:t xml:space="preserve"> (grifamos)</w:t>
      </w:r>
    </w:p>
    <w:p w14:paraId="0CA7B184" w14:textId="3DB875E0" w:rsidR="0084498F" w:rsidRPr="0084498F" w:rsidRDefault="0084498F" w:rsidP="00C81C6C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 w:rsidR="00C81C6C">
        <w:t xml:space="preserve">Portanto, cabe ao </w:t>
      </w:r>
      <w:r w:rsidR="00C81C6C" w:rsidRPr="00C81C6C">
        <w:rPr>
          <w:b/>
        </w:rPr>
        <w:t xml:space="preserve">Exequente, </w:t>
      </w:r>
      <w:r w:rsidR="00C81C6C">
        <w:t xml:space="preserve">comprovar que estão presentes os </w:t>
      </w:r>
      <w:r w:rsidRPr="0084498F">
        <w:t>pressupostos genéricos da fraude à execução</w:t>
      </w:r>
      <w:r w:rsidR="00C81C6C">
        <w:t xml:space="preserve">. E observando detidamente os autos nota-se claramente que o </w:t>
      </w:r>
      <w:r w:rsidR="00C81C6C" w:rsidRPr="00C81C6C">
        <w:rPr>
          <w:b/>
        </w:rPr>
        <w:t>Exequente</w:t>
      </w:r>
      <w:r w:rsidR="00C81C6C">
        <w:rPr>
          <w:b/>
        </w:rPr>
        <w:t xml:space="preserve">, </w:t>
      </w:r>
      <w:r w:rsidR="00C81C6C">
        <w:t xml:space="preserve">não adotou as medidas que lhe cabia para demonstrar que houve a ocorrência de fraude à execução. Na medida em que não apresentou averbação na </w:t>
      </w:r>
      <w:r w:rsidRPr="0084498F">
        <w:t>matrícula do bem</w:t>
      </w:r>
      <w:r w:rsidR="00C81C6C">
        <w:t xml:space="preserve"> relacionado a presente execução e também não apresentou nenhuma </w:t>
      </w:r>
      <w:r w:rsidRPr="0084498F">
        <w:t>prova da má-fé do terceiro adquirente.</w:t>
      </w:r>
    </w:p>
    <w:p w14:paraId="2DB8C7C8" w14:textId="77777777" w:rsidR="003205A3" w:rsidRDefault="003205A3" w:rsidP="00EB2321">
      <w:pPr>
        <w:shd w:val="clear" w:color="auto" w:fill="FFFFFF"/>
        <w:jc w:val="both"/>
      </w:pPr>
    </w:p>
    <w:p w14:paraId="64FEB6BE" w14:textId="3125CA16" w:rsidR="003205A3" w:rsidRPr="003205A3" w:rsidRDefault="00C8607F" w:rsidP="00854B3E">
      <w:pPr>
        <w:shd w:val="clear" w:color="auto" w:fill="FFFFFF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- </w:t>
      </w:r>
      <w:r w:rsidR="00CF028C">
        <w:rPr>
          <w:rFonts w:cs="Arial"/>
          <w:b/>
          <w:szCs w:val="24"/>
          <w:u w:val="single"/>
        </w:rPr>
        <w:t>IMÓVEL ALIENADO</w:t>
      </w:r>
      <w:r w:rsidR="003205A3" w:rsidRPr="003205A3">
        <w:rPr>
          <w:rFonts w:cs="Arial"/>
          <w:b/>
          <w:szCs w:val="24"/>
          <w:u w:val="single"/>
        </w:rPr>
        <w:t xml:space="preserve"> QUANDO NÃO HAVIA RESTRIÇÃO EM CARTÓRIO</w:t>
      </w:r>
      <w:r w:rsidR="003205A3">
        <w:rPr>
          <w:rFonts w:cs="Arial"/>
          <w:b/>
          <w:szCs w:val="24"/>
          <w:u w:val="single"/>
        </w:rPr>
        <w:t>:</w:t>
      </w:r>
    </w:p>
    <w:p w14:paraId="4A211961" w14:textId="77777777" w:rsidR="00854B3E" w:rsidRDefault="00854B3E" w:rsidP="00777780">
      <w:pPr>
        <w:shd w:val="clear" w:color="auto" w:fill="FFFFFF"/>
        <w:jc w:val="both"/>
      </w:pPr>
    </w:p>
    <w:p w14:paraId="54995BFB" w14:textId="4C0C816B" w:rsidR="00777780" w:rsidRDefault="007B7747" w:rsidP="00F00AE1">
      <w:pPr>
        <w:shd w:val="clear" w:color="auto" w:fill="FFFFFF"/>
        <w:jc w:val="both"/>
      </w:pPr>
      <w:r>
        <w:tab/>
      </w:r>
      <w:r>
        <w:tab/>
      </w:r>
      <w:r>
        <w:tab/>
      </w:r>
      <w:r>
        <w:tab/>
      </w:r>
      <w:r w:rsidR="00777780">
        <w:t>Se inexistente o registro do ato constritivo ou da ação</w:t>
      </w:r>
      <w:r w:rsidR="00F00AE1">
        <w:t xml:space="preserve"> executiva</w:t>
      </w:r>
      <w:r w:rsidR="00777780">
        <w:t xml:space="preserve">, incumbe ao </w:t>
      </w:r>
      <w:r w:rsidR="00854B3E">
        <w:rPr>
          <w:b/>
        </w:rPr>
        <w:t>E</w:t>
      </w:r>
      <w:r w:rsidR="00777780" w:rsidRPr="00854B3E">
        <w:rPr>
          <w:b/>
        </w:rPr>
        <w:t>xequente</w:t>
      </w:r>
      <w:r w:rsidR="00777780">
        <w:t xml:space="preserve"> a prova da má-fé do adquirente sucessivo. A </w:t>
      </w:r>
      <w:r w:rsidR="000B1714">
        <w:t xml:space="preserve">sua ineficácia perante o </w:t>
      </w:r>
      <w:r w:rsidR="000B1714" w:rsidRPr="000B1714">
        <w:rPr>
          <w:b/>
        </w:rPr>
        <w:t>E</w:t>
      </w:r>
      <w:r w:rsidR="00777780" w:rsidRPr="000B1714">
        <w:rPr>
          <w:b/>
        </w:rPr>
        <w:t>xequente</w:t>
      </w:r>
      <w:r w:rsidR="00777780">
        <w:t xml:space="preserve"> dependerá da demonstração</w:t>
      </w:r>
      <w:r w:rsidR="00F00AE1">
        <w:t xml:space="preserve"> de que o adquirente posterior</w:t>
      </w:r>
      <w:r w:rsidR="00777780">
        <w:t xml:space="preserve"> tinha conhecimento da pendência de </w:t>
      </w:r>
      <w:r w:rsidR="000B1714">
        <w:t>ação contra o alienante</w:t>
      </w:r>
      <w:r w:rsidR="00777780">
        <w:t>.</w:t>
      </w:r>
    </w:p>
    <w:p w14:paraId="1A6A849A" w14:textId="77777777" w:rsidR="00777780" w:rsidRDefault="00777780" w:rsidP="00777780">
      <w:pPr>
        <w:shd w:val="clear" w:color="auto" w:fill="FFFFFF"/>
        <w:jc w:val="both"/>
      </w:pPr>
    </w:p>
    <w:p w14:paraId="036DC850" w14:textId="0356EAC9" w:rsidR="00777780" w:rsidRDefault="00F00AE1" w:rsidP="00777780">
      <w:pPr>
        <w:shd w:val="clear" w:color="auto" w:fill="FFFFFF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777780">
        <w:t>Em síntese, a orientação consagrada na Súmula 375/STJ</w:t>
      </w:r>
      <w:r>
        <w:t xml:space="preserve"> </w:t>
      </w:r>
      <w:r w:rsidR="00777780">
        <w:t>é aplicável às hipóteses de alienações sucessivas.</w:t>
      </w:r>
    </w:p>
    <w:p w14:paraId="55370D86" w14:textId="77777777" w:rsidR="003205A3" w:rsidRDefault="003205A3" w:rsidP="003205A3">
      <w:pPr>
        <w:shd w:val="clear" w:color="auto" w:fill="FFFFFF"/>
        <w:jc w:val="both"/>
        <w:rPr>
          <w:rFonts w:cs="Arial"/>
          <w:szCs w:val="24"/>
        </w:rPr>
      </w:pPr>
    </w:p>
    <w:p w14:paraId="1DE53DA6" w14:textId="4FBA6F0E" w:rsidR="003205A3" w:rsidRPr="003205A3" w:rsidRDefault="003205A3" w:rsidP="003205A3">
      <w:pPr>
        <w:shd w:val="clear" w:color="auto" w:fill="FFFFFF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Conforme se verifica da certid</w:t>
      </w:r>
      <w:r w:rsidR="000B1714">
        <w:rPr>
          <w:rFonts w:cs="Arial"/>
          <w:szCs w:val="24"/>
        </w:rPr>
        <w:t>ão</w:t>
      </w:r>
      <w:r>
        <w:rPr>
          <w:rFonts w:cs="Arial"/>
          <w:szCs w:val="24"/>
        </w:rPr>
        <w:t xml:space="preserve"> de matrícula do imóvel</w:t>
      </w:r>
      <w:r w:rsidR="000B1714">
        <w:rPr>
          <w:rFonts w:cs="Arial"/>
          <w:szCs w:val="24"/>
        </w:rPr>
        <w:t xml:space="preserve"> - </w:t>
      </w:r>
      <w:r w:rsidR="000B1714">
        <w:rPr>
          <w:rFonts w:cs="Arial"/>
        </w:rPr>
        <w:t>id 2f43ef7</w:t>
      </w:r>
      <w:r>
        <w:rPr>
          <w:rFonts w:cs="Arial"/>
          <w:szCs w:val="24"/>
        </w:rPr>
        <w:t>, no</w:t>
      </w:r>
      <w:r w:rsidRPr="003205A3">
        <w:rPr>
          <w:rFonts w:cs="Arial"/>
          <w:szCs w:val="24"/>
        </w:rPr>
        <w:t xml:space="preserve"> momento</w:t>
      </w:r>
      <w:r>
        <w:rPr>
          <w:rFonts w:cs="Arial"/>
          <w:szCs w:val="24"/>
        </w:rPr>
        <w:t xml:space="preserve"> em que foi realizada a alienação</w:t>
      </w:r>
      <w:r w:rsidRPr="003205A3">
        <w:rPr>
          <w:rFonts w:cs="Arial"/>
          <w:szCs w:val="24"/>
        </w:rPr>
        <w:t xml:space="preserve">, não constava no cartório imobiliário nenhuma </w:t>
      </w:r>
      <w:r>
        <w:rPr>
          <w:rFonts w:cs="Arial"/>
          <w:szCs w:val="24"/>
        </w:rPr>
        <w:t>restriç</w:t>
      </w:r>
      <w:r w:rsidR="00407724">
        <w:rPr>
          <w:rFonts w:cs="Arial"/>
          <w:szCs w:val="24"/>
        </w:rPr>
        <w:t>ão referente ao presente processo executivo.</w:t>
      </w:r>
    </w:p>
    <w:p w14:paraId="24B29435" w14:textId="77777777" w:rsidR="00407724" w:rsidRDefault="00407724" w:rsidP="003205A3">
      <w:pPr>
        <w:shd w:val="clear" w:color="auto" w:fill="FFFFFF"/>
        <w:jc w:val="both"/>
        <w:rPr>
          <w:rFonts w:cs="Arial"/>
          <w:szCs w:val="24"/>
        </w:rPr>
      </w:pPr>
    </w:p>
    <w:p w14:paraId="6C7BB261" w14:textId="572E5D02" w:rsidR="003205A3" w:rsidRPr="003205A3" w:rsidRDefault="00407724" w:rsidP="003205A3">
      <w:pPr>
        <w:shd w:val="clear" w:color="auto" w:fill="FFFFFF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</w:t>
      </w:r>
      <w:r w:rsidR="003205A3" w:rsidRPr="003205A3">
        <w:rPr>
          <w:rFonts w:cs="Arial"/>
          <w:szCs w:val="24"/>
        </w:rPr>
        <w:t>e não há a averbação de penhora ou execução, essa circunstância não impede totalmente o reconhecimento de fraude à execução, "mas caberá ao credor comprovar a má-fé do terceiro</w:t>
      </w:r>
      <w:r>
        <w:rPr>
          <w:rFonts w:cs="Arial"/>
          <w:szCs w:val="24"/>
        </w:rPr>
        <w:t>”</w:t>
      </w:r>
      <w:r w:rsidR="003205A3" w:rsidRPr="003205A3">
        <w:rPr>
          <w:rFonts w:cs="Arial"/>
          <w:szCs w:val="24"/>
        </w:rPr>
        <w:t>. Essa orientação está consolidada na Súmula 375 do STJ.</w:t>
      </w:r>
    </w:p>
    <w:p w14:paraId="7F7B8A39" w14:textId="77777777" w:rsidR="00FC0684" w:rsidRDefault="00FC0684" w:rsidP="00FC0684">
      <w:pPr>
        <w:shd w:val="clear" w:color="auto" w:fill="FFFFFF"/>
        <w:jc w:val="both"/>
        <w:rPr>
          <w:rFonts w:cs="Arial"/>
          <w:szCs w:val="24"/>
        </w:rPr>
      </w:pPr>
    </w:p>
    <w:p w14:paraId="19CE58A6" w14:textId="6EA39CFF" w:rsidR="00FC0684" w:rsidRPr="00FC0684" w:rsidRDefault="00FC0684" w:rsidP="00FC0684">
      <w:pPr>
        <w:shd w:val="clear" w:color="auto" w:fill="FFFFFF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</w:t>
      </w:r>
      <w:r w:rsidRPr="00FC0684">
        <w:rPr>
          <w:rFonts w:cs="Arial"/>
          <w:szCs w:val="24"/>
        </w:rPr>
        <w:t xml:space="preserve">onforme estampado na </w:t>
      </w:r>
      <w:r>
        <w:rPr>
          <w:rFonts w:cs="Arial"/>
          <w:szCs w:val="24"/>
        </w:rPr>
        <w:t>matrícula do imóvel registrada</w:t>
      </w:r>
      <w:r w:rsidRPr="00FC0684">
        <w:rPr>
          <w:rFonts w:cs="Arial"/>
          <w:szCs w:val="24"/>
        </w:rPr>
        <w:t xml:space="preserve"> no Cartório d</w:t>
      </w:r>
      <w:r>
        <w:rPr>
          <w:rFonts w:cs="Arial"/>
          <w:szCs w:val="24"/>
        </w:rPr>
        <w:t xml:space="preserve">e Imóveis da Comarca de Presidente Epitácio-SP – id </w:t>
      </w:r>
      <w:r w:rsidRPr="00FC0684">
        <w:rPr>
          <w:rFonts w:cs="Arial"/>
          <w:szCs w:val="24"/>
        </w:rPr>
        <w:t>2f43ef7</w:t>
      </w:r>
      <w:r w:rsidRPr="00FC0684">
        <w:rPr>
          <w:rFonts w:cs="Arial"/>
          <w:szCs w:val="24"/>
        </w:rPr>
        <w:t xml:space="preserve">, o imóvel </w:t>
      </w:r>
      <w:r>
        <w:rPr>
          <w:rFonts w:cs="Arial"/>
          <w:szCs w:val="24"/>
        </w:rPr>
        <w:t xml:space="preserve">estava </w:t>
      </w:r>
      <w:r w:rsidRPr="00FC0684">
        <w:rPr>
          <w:rFonts w:cs="Arial"/>
          <w:szCs w:val="24"/>
        </w:rPr>
        <w:t>livre e desembaraçado de quaisquer</w:t>
      </w:r>
      <w:r w:rsidR="00FE4BBB">
        <w:rPr>
          <w:rFonts w:cs="Arial"/>
          <w:szCs w:val="24"/>
        </w:rPr>
        <w:t xml:space="preserve"> ônus judicial ou extrajudicial</w:t>
      </w:r>
      <w:r w:rsidRPr="00FC068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na conclusão e registro do inventário. Cabendo o ônus da prenotação de ações existentes ao</w:t>
      </w:r>
      <w:r w:rsidRPr="00FC0684">
        <w:rPr>
          <w:rFonts w:cs="Arial"/>
          <w:b/>
          <w:szCs w:val="24"/>
        </w:rPr>
        <w:t xml:space="preserve"> E</w:t>
      </w:r>
      <w:r>
        <w:rPr>
          <w:rFonts w:cs="Arial"/>
          <w:b/>
          <w:szCs w:val="24"/>
        </w:rPr>
        <w:t xml:space="preserve">xequente, </w:t>
      </w:r>
      <w:r>
        <w:rPr>
          <w:rFonts w:cs="Arial"/>
          <w:szCs w:val="24"/>
        </w:rPr>
        <w:t>sendo este o entendimento do TRT-24 Região:</w:t>
      </w:r>
    </w:p>
    <w:p w14:paraId="1C2BA2C9" w14:textId="77777777" w:rsidR="00FC0684" w:rsidRPr="00FC0684" w:rsidRDefault="00FC0684" w:rsidP="00FC0684">
      <w:pPr>
        <w:shd w:val="clear" w:color="auto" w:fill="FFFFFF"/>
        <w:jc w:val="both"/>
        <w:rPr>
          <w:rFonts w:cs="Arial"/>
          <w:szCs w:val="24"/>
        </w:rPr>
      </w:pPr>
    </w:p>
    <w:p w14:paraId="2C5DD92A" w14:textId="54FC2C7D" w:rsidR="00FC0684" w:rsidRPr="00FC0684" w:rsidRDefault="00FC0684" w:rsidP="00FC0684">
      <w:pPr>
        <w:shd w:val="clear" w:color="auto" w:fill="FFFFFF"/>
        <w:ind w:left="3545"/>
        <w:jc w:val="both"/>
        <w:rPr>
          <w:rFonts w:asciiTheme="minorHAnsi" w:hAnsiTheme="minorHAnsi" w:cstheme="minorHAnsi"/>
          <w:sz w:val="22"/>
          <w:szCs w:val="24"/>
        </w:rPr>
      </w:pPr>
      <w:r w:rsidRPr="00FC0684">
        <w:rPr>
          <w:rFonts w:asciiTheme="minorHAnsi" w:hAnsiTheme="minorHAnsi" w:cstheme="minorHAnsi"/>
          <w:b/>
          <w:sz w:val="22"/>
          <w:szCs w:val="24"/>
        </w:rPr>
        <w:t>AGRAVO DE PETIÇÃO. ALIENAÇÃO DE IMÓVEL. FRAUDE</w:t>
      </w:r>
      <w:r w:rsidR="00CF028C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FC0684">
        <w:rPr>
          <w:rFonts w:asciiTheme="minorHAnsi" w:hAnsiTheme="minorHAnsi" w:cstheme="minorHAnsi"/>
          <w:b/>
          <w:sz w:val="22"/>
          <w:szCs w:val="24"/>
        </w:rPr>
        <w:t>À</w:t>
      </w:r>
      <w:r w:rsidRPr="00FC0684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FC0684">
        <w:rPr>
          <w:rFonts w:asciiTheme="minorHAnsi" w:hAnsiTheme="minorHAnsi" w:cstheme="minorHAnsi"/>
          <w:b/>
          <w:sz w:val="22"/>
          <w:szCs w:val="24"/>
        </w:rPr>
        <w:t>EXECUÇÃO. PRESSUPOSTOS.</w:t>
      </w:r>
    </w:p>
    <w:p w14:paraId="2EE87E70" w14:textId="5B0071A6" w:rsidR="00FC0684" w:rsidRPr="00FC0684" w:rsidRDefault="00FC0684" w:rsidP="00FC0684">
      <w:pPr>
        <w:shd w:val="clear" w:color="auto" w:fill="FFFFFF"/>
        <w:ind w:left="3545"/>
        <w:jc w:val="both"/>
        <w:rPr>
          <w:rFonts w:asciiTheme="minorHAnsi" w:hAnsiTheme="minorHAnsi" w:cstheme="minorHAnsi"/>
          <w:sz w:val="22"/>
          <w:szCs w:val="24"/>
        </w:rPr>
      </w:pPr>
      <w:r w:rsidRPr="00FC0684">
        <w:rPr>
          <w:rFonts w:asciiTheme="minorHAnsi" w:hAnsiTheme="minorHAnsi" w:cstheme="minorHAnsi"/>
          <w:sz w:val="22"/>
          <w:szCs w:val="24"/>
        </w:rPr>
        <w:t>Não há falar-se em declaração de ineficácia da aquisição do imóvel</w:t>
      </w:r>
      <w:r w:rsidRPr="00FC0684">
        <w:rPr>
          <w:rFonts w:asciiTheme="minorHAnsi" w:hAnsiTheme="minorHAnsi" w:cstheme="minorHAnsi"/>
          <w:sz w:val="22"/>
          <w:szCs w:val="24"/>
        </w:rPr>
        <w:t xml:space="preserve"> </w:t>
      </w:r>
      <w:r w:rsidRPr="00FC0684">
        <w:rPr>
          <w:rFonts w:asciiTheme="minorHAnsi" w:hAnsiTheme="minorHAnsi" w:cstheme="minorHAnsi"/>
          <w:sz w:val="22"/>
          <w:szCs w:val="24"/>
        </w:rPr>
        <w:t>por terceiro, em fraude à execução, se ausente registro da penhora do bem adquirido ou prova de má-fé do</w:t>
      </w:r>
      <w:r w:rsidRPr="00FC0684">
        <w:rPr>
          <w:rFonts w:asciiTheme="minorHAnsi" w:hAnsiTheme="minorHAnsi" w:cstheme="minorHAnsi"/>
          <w:sz w:val="22"/>
          <w:szCs w:val="24"/>
        </w:rPr>
        <w:t xml:space="preserve"> </w:t>
      </w:r>
      <w:r w:rsidRPr="00FC0684">
        <w:rPr>
          <w:rFonts w:asciiTheme="minorHAnsi" w:hAnsiTheme="minorHAnsi" w:cstheme="minorHAnsi"/>
          <w:sz w:val="22"/>
          <w:szCs w:val="24"/>
        </w:rPr>
        <w:t>terceiro adquirente, conforme entendimento disposto na Súmula n. 375 do Superior Tribunal de Justiça.</w:t>
      </w:r>
    </w:p>
    <w:p w14:paraId="28474CA8" w14:textId="77777777" w:rsidR="00FC0684" w:rsidRPr="00FC0684" w:rsidRDefault="00FC0684" w:rsidP="00FC0684">
      <w:pPr>
        <w:shd w:val="clear" w:color="auto" w:fill="FFFFFF"/>
        <w:ind w:left="3545"/>
        <w:jc w:val="both"/>
        <w:rPr>
          <w:rFonts w:asciiTheme="minorHAnsi" w:hAnsiTheme="minorHAnsi" w:cstheme="minorHAnsi"/>
          <w:sz w:val="22"/>
          <w:szCs w:val="24"/>
        </w:rPr>
      </w:pPr>
      <w:r w:rsidRPr="00FC0684">
        <w:rPr>
          <w:rFonts w:asciiTheme="minorHAnsi" w:hAnsiTheme="minorHAnsi" w:cstheme="minorHAnsi"/>
          <w:sz w:val="22"/>
          <w:szCs w:val="24"/>
        </w:rPr>
        <w:t>Agravo não provido.</w:t>
      </w:r>
    </w:p>
    <w:p w14:paraId="2E94013D" w14:textId="42B1FBFA" w:rsidR="00FC0684" w:rsidRDefault="00FC0684" w:rsidP="00FC0684">
      <w:pPr>
        <w:shd w:val="clear" w:color="auto" w:fill="FFFFFF"/>
        <w:ind w:left="3545"/>
        <w:jc w:val="both"/>
        <w:rPr>
          <w:rFonts w:asciiTheme="minorHAnsi" w:hAnsiTheme="minorHAnsi" w:cstheme="minorHAnsi"/>
          <w:b/>
          <w:sz w:val="22"/>
          <w:szCs w:val="24"/>
        </w:rPr>
      </w:pPr>
      <w:r w:rsidRPr="00FE4BBB">
        <w:rPr>
          <w:rFonts w:asciiTheme="minorHAnsi" w:hAnsiTheme="minorHAnsi" w:cstheme="minorHAnsi"/>
          <w:b/>
          <w:sz w:val="22"/>
          <w:szCs w:val="24"/>
        </w:rPr>
        <w:t>PROCESSO N. 0024909-04.2017.5.24.0007-AP</w:t>
      </w:r>
      <w:r w:rsidRPr="00FE4BBB">
        <w:rPr>
          <w:rFonts w:asciiTheme="minorHAnsi" w:hAnsiTheme="minorHAnsi" w:cstheme="minorHAnsi"/>
          <w:b/>
          <w:sz w:val="22"/>
          <w:szCs w:val="24"/>
        </w:rPr>
        <w:t xml:space="preserve"> - 2</w:t>
      </w:r>
      <w:r w:rsidRPr="00FE4BBB">
        <w:rPr>
          <w:rFonts w:asciiTheme="minorHAnsi" w:hAnsiTheme="minorHAnsi" w:cstheme="minorHAnsi"/>
          <w:b/>
          <w:sz w:val="22"/>
          <w:szCs w:val="24"/>
        </w:rPr>
        <w:t>ª TURMA</w:t>
      </w:r>
      <w:r w:rsidRPr="00FE4BBB">
        <w:rPr>
          <w:rFonts w:asciiTheme="minorHAnsi" w:hAnsiTheme="minorHAnsi" w:cstheme="minorHAnsi"/>
          <w:b/>
          <w:sz w:val="22"/>
          <w:szCs w:val="24"/>
        </w:rPr>
        <w:t xml:space="preserve"> - </w:t>
      </w:r>
      <w:r w:rsidRPr="00FE4BBB">
        <w:rPr>
          <w:rFonts w:asciiTheme="minorHAnsi" w:hAnsiTheme="minorHAnsi" w:cstheme="minorHAnsi"/>
          <w:b/>
          <w:sz w:val="22"/>
          <w:szCs w:val="24"/>
        </w:rPr>
        <w:t>Relator : Des. AMAURY RODRIGUES PINTO JUNIOR</w:t>
      </w:r>
      <w:r w:rsidRPr="00FE4BBB">
        <w:rPr>
          <w:rFonts w:asciiTheme="minorHAnsi" w:hAnsiTheme="minorHAnsi" w:cstheme="minorHAnsi"/>
          <w:b/>
          <w:sz w:val="22"/>
          <w:szCs w:val="24"/>
        </w:rPr>
        <w:t xml:space="preserve"> – data 04/07/2018 - </w:t>
      </w:r>
      <w:r w:rsidRPr="00FE4BBB">
        <w:rPr>
          <w:rFonts w:asciiTheme="minorHAnsi" w:hAnsiTheme="minorHAnsi" w:cstheme="minorHAnsi"/>
          <w:b/>
          <w:sz w:val="22"/>
          <w:szCs w:val="24"/>
        </w:rPr>
        <w:t>5ª Vara do Trabalho de Campo Grande/MS</w:t>
      </w:r>
      <w:r w:rsidRPr="00FE4BBB">
        <w:rPr>
          <w:rFonts w:asciiTheme="minorHAnsi" w:hAnsiTheme="minorHAnsi" w:cstheme="minorHAnsi"/>
          <w:b/>
          <w:sz w:val="22"/>
          <w:szCs w:val="24"/>
        </w:rPr>
        <w:t>.</w:t>
      </w:r>
    </w:p>
    <w:p w14:paraId="411C741F" w14:textId="77777777" w:rsidR="00FE4BBB" w:rsidRPr="00FE4BBB" w:rsidRDefault="00FE4BBB" w:rsidP="00FC0684">
      <w:pPr>
        <w:shd w:val="clear" w:color="auto" w:fill="FFFFFF"/>
        <w:ind w:left="3545"/>
        <w:jc w:val="both"/>
        <w:rPr>
          <w:rFonts w:cs="Arial"/>
          <w:b/>
          <w:szCs w:val="24"/>
        </w:rPr>
      </w:pPr>
    </w:p>
    <w:p w14:paraId="10998B3E" w14:textId="066CC2AE" w:rsidR="00FC0684" w:rsidRDefault="00FC0684" w:rsidP="00FE4BBB">
      <w:pPr>
        <w:shd w:val="clear" w:color="auto" w:fill="FFFFFF"/>
        <w:ind w:firstLine="3000"/>
        <w:jc w:val="both"/>
        <w:rPr>
          <w:rFonts w:cs="Arial"/>
          <w:spacing w:val="2"/>
          <w:szCs w:val="24"/>
        </w:rPr>
      </w:pPr>
      <w:r w:rsidRPr="00FC0684">
        <w:rPr>
          <w:rFonts w:cs="Arial"/>
          <w:spacing w:val="2"/>
          <w:szCs w:val="24"/>
        </w:rPr>
        <w:t>Rest</w:t>
      </w:r>
      <w:r w:rsidR="00FE4BBB">
        <w:rPr>
          <w:rFonts w:cs="Arial"/>
          <w:spacing w:val="2"/>
          <w:szCs w:val="24"/>
        </w:rPr>
        <w:t>a</w:t>
      </w:r>
      <w:r w:rsidRPr="00FC0684">
        <w:rPr>
          <w:rFonts w:cs="Arial"/>
          <w:spacing w:val="2"/>
          <w:szCs w:val="24"/>
        </w:rPr>
        <w:t xml:space="preserve"> incontroverso que não houve </w:t>
      </w:r>
      <w:r w:rsidR="00FE4BBB">
        <w:rPr>
          <w:rFonts w:cs="Arial"/>
          <w:spacing w:val="2"/>
          <w:szCs w:val="24"/>
        </w:rPr>
        <w:t>prenotação da ação executiva</w:t>
      </w:r>
      <w:r w:rsidRPr="00FC0684">
        <w:rPr>
          <w:rFonts w:cs="Arial"/>
          <w:spacing w:val="2"/>
          <w:szCs w:val="24"/>
        </w:rPr>
        <w:t xml:space="preserve"> na matrícula do imóvel antecedente </w:t>
      </w:r>
      <w:r w:rsidR="00FE4BBB">
        <w:rPr>
          <w:rFonts w:cs="Arial"/>
          <w:spacing w:val="2"/>
          <w:szCs w:val="24"/>
        </w:rPr>
        <w:t>ao registro do inventário</w:t>
      </w:r>
      <w:r w:rsidRPr="00FC0684">
        <w:rPr>
          <w:rFonts w:cs="Arial"/>
          <w:spacing w:val="2"/>
          <w:szCs w:val="24"/>
        </w:rPr>
        <w:t>.</w:t>
      </w:r>
    </w:p>
    <w:p w14:paraId="157550F3" w14:textId="77777777" w:rsidR="00FE4BBB" w:rsidRPr="00FC0684" w:rsidRDefault="00FE4BBB" w:rsidP="00FE4BBB">
      <w:pPr>
        <w:shd w:val="clear" w:color="auto" w:fill="FFFFFF"/>
        <w:ind w:firstLine="3000"/>
        <w:jc w:val="both"/>
        <w:rPr>
          <w:rFonts w:cs="Arial"/>
          <w:spacing w:val="2"/>
          <w:szCs w:val="24"/>
        </w:rPr>
      </w:pPr>
    </w:p>
    <w:p w14:paraId="6D7F7AF9" w14:textId="3CD1F536" w:rsidR="00FC0684" w:rsidRDefault="00FC0684" w:rsidP="00FE4BBB">
      <w:pPr>
        <w:shd w:val="clear" w:color="auto" w:fill="FFFFFF"/>
        <w:ind w:firstLine="3000"/>
        <w:jc w:val="both"/>
        <w:rPr>
          <w:rFonts w:cs="Arial"/>
          <w:spacing w:val="2"/>
          <w:szCs w:val="24"/>
        </w:rPr>
      </w:pPr>
      <w:r w:rsidRPr="00FC0684">
        <w:rPr>
          <w:rFonts w:cs="Arial"/>
          <w:spacing w:val="2"/>
          <w:szCs w:val="24"/>
        </w:rPr>
        <w:t>Nesse contexto, conforme entendimento disposto na Súmula n. 375 do STJ, não há falar-se em declaração de ineficácia da al</w:t>
      </w:r>
      <w:r w:rsidR="00FE4BBB">
        <w:rPr>
          <w:rFonts w:cs="Arial"/>
          <w:spacing w:val="2"/>
          <w:szCs w:val="24"/>
        </w:rPr>
        <w:t xml:space="preserve">ienação do imóvel pela </w:t>
      </w:r>
      <w:r w:rsidR="00FE4BBB">
        <w:rPr>
          <w:rFonts w:cs="Arial"/>
          <w:b/>
          <w:spacing w:val="2"/>
          <w:szCs w:val="24"/>
        </w:rPr>
        <w:t>E</w:t>
      </w:r>
      <w:r w:rsidR="00FE4BBB" w:rsidRPr="00FE4BBB">
        <w:rPr>
          <w:rFonts w:cs="Arial"/>
          <w:b/>
          <w:spacing w:val="2"/>
          <w:szCs w:val="24"/>
        </w:rPr>
        <w:t>xecutada</w:t>
      </w:r>
      <w:r w:rsidRPr="00FC0684">
        <w:rPr>
          <w:rFonts w:cs="Arial"/>
          <w:spacing w:val="2"/>
          <w:szCs w:val="24"/>
        </w:rPr>
        <w:t xml:space="preserve"> se ausente registro da penhora do bem alienado ou prova de má-fé do terceiro adquirente.</w:t>
      </w:r>
    </w:p>
    <w:p w14:paraId="5DB8F47A" w14:textId="77777777" w:rsidR="00FE4BBB" w:rsidRPr="00FC0684" w:rsidRDefault="00FE4BBB" w:rsidP="00FE4BBB">
      <w:pPr>
        <w:shd w:val="clear" w:color="auto" w:fill="FFFFFF"/>
        <w:ind w:firstLine="3000"/>
        <w:jc w:val="both"/>
        <w:rPr>
          <w:rFonts w:cs="Arial"/>
          <w:spacing w:val="2"/>
          <w:szCs w:val="24"/>
        </w:rPr>
      </w:pPr>
    </w:p>
    <w:p w14:paraId="4E9D9E2A" w14:textId="1D1DFB2F" w:rsidR="00FC0684" w:rsidRDefault="00FC0684" w:rsidP="00FE4BBB">
      <w:pPr>
        <w:shd w:val="clear" w:color="auto" w:fill="FFFFFF"/>
        <w:ind w:firstLine="3000"/>
        <w:jc w:val="both"/>
        <w:rPr>
          <w:rFonts w:cs="Arial"/>
          <w:spacing w:val="2"/>
          <w:szCs w:val="24"/>
        </w:rPr>
      </w:pPr>
      <w:r w:rsidRPr="00FC0684">
        <w:rPr>
          <w:rFonts w:cs="Arial"/>
          <w:spacing w:val="2"/>
          <w:szCs w:val="24"/>
        </w:rPr>
        <w:t xml:space="preserve">Sobre o tema, assim decidiu o c. </w:t>
      </w:r>
      <w:r w:rsidRPr="00FC0684">
        <w:rPr>
          <w:rFonts w:cs="Arial"/>
          <w:b/>
          <w:spacing w:val="2"/>
          <w:szCs w:val="24"/>
        </w:rPr>
        <w:t>TST</w:t>
      </w:r>
      <w:r w:rsidRPr="00FC0684">
        <w:rPr>
          <w:rFonts w:cs="Arial"/>
          <w:spacing w:val="2"/>
          <w:szCs w:val="24"/>
        </w:rPr>
        <w:t xml:space="preserve"> (Informativo n. 02 de Execução), </w:t>
      </w:r>
      <w:r w:rsidR="00FE4BBB">
        <w:rPr>
          <w:rFonts w:cs="Arial"/>
          <w:spacing w:val="2"/>
          <w:szCs w:val="24"/>
        </w:rPr>
        <w:t>“</w:t>
      </w:r>
      <w:r w:rsidRPr="00FC0684">
        <w:rPr>
          <w:rFonts w:cs="Arial"/>
          <w:i/>
          <w:iCs/>
          <w:spacing w:val="2"/>
          <w:szCs w:val="24"/>
        </w:rPr>
        <w:t>verbis</w:t>
      </w:r>
      <w:r w:rsidR="00FE4BBB">
        <w:rPr>
          <w:rFonts w:cs="Arial"/>
          <w:i/>
          <w:iCs/>
          <w:spacing w:val="2"/>
          <w:szCs w:val="24"/>
        </w:rPr>
        <w:t>”</w:t>
      </w:r>
      <w:r w:rsidRPr="00FC0684">
        <w:rPr>
          <w:rFonts w:cs="Arial"/>
          <w:spacing w:val="2"/>
          <w:szCs w:val="24"/>
        </w:rPr>
        <w:t>:</w:t>
      </w:r>
    </w:p>
    <w:p w14:paraId="13536A9F" w14:textId="77777777" w:rsidR="00FE4BBB" w:rsidRPr="00FC0684" w:rsidRDefault="00FE4BBB" w:rsidP="00FE4BBB">
      <w:pPr>
        <w:shd w:val="clear" w:color="auto" w:fill="FFFFFF"/>
        <w:ind w:firstLine="3000"/>
        <w:jc w:val="both"/>
        <w:rPr>
          <w:rFonts w:cs="Arial"/>
          <w:spacing w:val="2"/>
          <w:szCs w:val="24"/>
        </w:rPr>
      </w:pPr>
    </w:p>
    <w:p w14:paraId="0FC986E7" w14:textId="1E58E321" w:rsidR="00FC0684" w:rsidRPr="00FE4BBB" w:rsidRDefault="00FC0684" w:rsidP="00FE4BBB">
      <w:pPr>
        <w:shd w:val="clear" w:color="auto" w:fill="FFFFFF"/>
        <w:ind w:left="3545"/>
        <w:jc w:val="both"/>
        <w:rPr>
          <w:rFonts w:asciiTheme="minorHAnsi" w:hAnsiTheme="minorHAnsi" w:cstheme="minorHAnsi"/>
          <w:b/>
          <w:spacing w:val="2"/>
          <w:sz w:val="22"/>
        </w:rPr>
      </w:pPr>
      <w:r w:rsidRPr="00FC0684">
        <w:rPr>
          <w:rFonts w:asciiTheme="minorHAnsi" w:hAnsiTheme="minorHAnsi" w:cstheme="minorHAnsi"/>
          <w:spacing w:val="2"/>
          <w:sz w:val="22"/>
        </w:rPr>
        <w:t>Execução. Embargos de terceiro. Bem imóvel alienado mediante alvará judicial e antes do reconhecimento do grupo econômico e inclusão das empresas na lide. </w:t>
      </w:r>
      <w:r w:rsidRPr="00FE4BBB">
        <w:rPr>
          <w:rFonts w:asciiTheme="minorHAnsi" w:hAnsiTheme="minorHAnsi" w:cstheme="minorHAnsi"/>
          <w:b/>
          <w:bCs/>
          <w:spacing w:val="2"/>
          <w:sz w:val="22"/>
        </w:rPr>
        <w:t>Adquirente de boa-fé. Fraude à execução. Não caracterização.</w:t>
      </w:r>
      <w:r w:rsidRPr="00FC0684">
        <w:rPr>
          <w:rFonts w:asciiTheme="minorHAnsi" w:hAnsiTheme="minorHAnsi" w:cstheme="minorHAnsi"/>
          <w:spacing w:val="2"/>
          <w:sz w:val="22"/>
        </w:rPr>
        <w:t> Age de boa-fé o terceiro adquirente de imóvel alienado judicialmente, mediante alvará regularmente expedido em processo de concordata, e em momento anterior ao reconhecimento judicial do grupo econômico e à inclusão de todas as empresas na lide. </w:t>
      </w:r>
      <w:r w:rsidRPr="00FE4BBB">
        <w:rPr>
          <w:rFonts w:asciiTheme="minorHAnsi" w:hAnsiTheme="minorHAnsi" w:cstheme="minorHAnsi"/>
          <w:b/>
          <w:bCs/>
          <w:spacing w:val="2"/>
          <w:sz w:val="22"/>
        </w:rPr>
        <w:t>Assim, ausente o registro da prova da má-fé do adquirente, requisito imprescindível à caracterização da fraude à execução</w:t>
      </w:r>
      <w:r w:rsidR="00FE4BBB">
        <w:rPr>
          <w:rFonts w:asciiTheme="minorHAnsi" w:hAnsiTheme="minorHAnsi" w:cstheme="minorHAnsi"/>
          <w:b/>
          <w:bCs/>
          <w:spacing w:val="2"/>
          <w:sz w:val="22"/>
        </w:rPr>
        <w:t>, conforme preconiza a Súmula n</w:t>
      </w:r>
      <w:r w:rsidRPr="00FE4BBB">
        <w:rPr>
          <w:rFonts w:asciiTheme="minorHAnsi" w:hAnsiTheme="minorHAnsi" w:cstheme="minorHAnsi"/>
          <w:b/>
          <w:bCs/>
          <w:spacing w:val="2"/>
          <w:sz w:val="22"/>
        </w:rPr>
        <w:t>º 375 do STJ, não há falar em declaração de ineficácia do negócio jurídico celebrado entre as partes.</w:t>
      </w:r>
      <w:r w:rsidR="00FE4BBB">
        <w:rPr>
          <w:rFonts w:asciiTheme="minorHAnsi" w:hAnsiTheme="minorHAnsi" w:cstheme="minorHAnsi"/>
          <w:b/>
          <w:bCs/>
          <w:spacing w:val="2"/>
          <w:sz w:val="22"/>
        </w:rPr>
        <w:t xml:space="preserve"> </w:t>
      </w:r>
      <w:r w:rsidRPr="00FC0684">
        <w:rPr>
          <w:rFonts w:asciiTheme="minorHAnsi" w:hAnsiTheme="minorHAnsi" w:cstheme="minorHAnsi"/>
          <w:spacing w:val="2"/>
          <w:sz w:val="22"/>
        </w:rPr>
        <w:t>Com esse entendimento, a SBDI-I, a unanimidade, conheceu dos embargos interpostos pela Anthares Técnicas Construtivas e Comércio Ltda., por divergência jurisprudencial, e, no mérito, deu-lhes provimento para julgar procedente o pedido deduzido na ação de embargos de terceiro, a fim de desconstituir a penhora realizada sobre o imóvel adquirido pela embargante. TSTE- ED-RR-155100-26.2004.5.15.0046, SBDI-I, rel. Min. Luiz Philippe Vieira de Mello Filho, 5.6.2014</w:t>
      </w:r>
      <w:r w:rsidR="00FE4BBB">
        <w:rPr>
          <w:rFonts w:asciiTheme="minorHAnsi" w:hAnsiTheme="minorHAnsi" w:cstheme="minorHAnsi"/>
          <w:spacing w:val="2"/>
          <w:sz w:val="22"/>
        </w:rPr>
        <w:t xml:space="preserve">. </w:t>
      </w:r>
      <w:r w:rsidR="00FE4BBB" w:rsidRPr="00FE4BBB">
        <w:rPr>
          <w:rFonts w:asciiTheme="minorHAnsi" w:hAnsiTheme="minorHAnsi" w:cstheme="minorHAnsi"/>
          <w:b/>
          <w:spacing w:val="2"/>
          <w:sz w:val="22"/>
        </w:rPr>
        <w:t>(grifamos)</w:t>
      </w:r>
    </w:p>
    <w:p w14:paraId="5F3042ED" w14:textId="77777777" w:rsidR="00FE4BBB" w:rsidRPr="00FC0684" w:rsidRDefault="00FE4BBB" w:rsidP="00FE4BBB">
      <w:pPr>
        <w:shd w:val="clear" w:color="auto" w:fill="FFFFFF"/>
        <w:ind w:left="3000"/>
        <w:jc w:val="both"/>
        <w:rPr>
          <w:rFonts w:asciiTheme="minorHAnsi" w:hAnsiTheme="minorHAnsi" w:cstheme="minorHAnsi"/>
          <w:spacing w:val="2"/>
          <w:sz w:val="20"/>
        </w:rPr>
      </w:pPr>
    </w:p>
    <w:p w14:paraId="414916FF" w14:textId="400AF860" w:rsidR="00FC0684" w:rsidRPr="00FE4BBB" w:rsidRDefault="00FE4BBB" w:rsidP="00FE4BBB">
      <w:pPr>
        <w:shd w:val="clear" w:color="auto" w:fill="FFFFFF"/>
        <w:ind w:firstLine="3000"/>
        <w:jc w:val="both"/>
        <w:rPr>
          <w:rFonts w:cs="Arial"/>
          <w:b/>
          <w:spacing w:val="2"/>
          <w:szCs w:val="24"/>
        </w:rPr>
      </w:pPr>
      <w:r>
        <w:rPr>
          <w:rFonts w:cs="Arial"/>
          <w:spacing w:val="2"/>
          <w:szCs w:val="24"/>
        </w:rPr>
        <w:t>Assim, temos que</w:t>
      </w:r>
      <w:r w:rsidR="00FC0684" w:rsidRPr="00FC0684">
        <w:rPr>
          <w:rFonts w:cs="Arial"/>
          <w:spacing w:val="2"/>
          <w:szCs w:val="24"/>
        </w:rPr>
        <w:t xml:space="preserve"> a boa-fé se presume, ao contrário da má-fé, que deve ser objeto de comprovação, ônus do qual não se desincumbiu o </w:t>
      </w:r>
      <w:r w:rsidRPr="00FE4BBB">
        <w:rPr>
          <w:rFonts w:cs="Arial"/>
          <w:b/>
          <w:spacing w:val="2"/>
          <w:szCs w:val="24"/>
        </w:rPr>
        <w:t>E</w:t>
      </w:r>
      <w:r w:rsidR="00FC0684" w:rsidRPr="00FC0684">
        <w:rPr>
          <w:rFonts w:cs="Arial"/>
          <w:b/>
          <w:spacing w:val="2"/>
          <w:szCs w:val="24"/>
        </w:rPr>
        <w:t>xequente.</w:t>
      </w:r>
    </w:p>
    <w:p w14:paraId="7E7D01EF" w14:textId="54B6556C" w:rsidR="00FC0684" w:rsidRPr="003205A3" w:rsidRDefault="00FC0684" w:rsidP="003205A3">
      <w:pPr>
        <w:shd w:val="clear" w:color="auto" w:fill="FFFFFF"/>
        <w:jc w:val="both"/>
        <w:rPr>
          <w:rFonts w:cs="Arial"/>
          <w:szCs w:val="24"/>
        </w:rPr>
      </w:pPr>
    </w:p>
    <w:p w14:paraId="534E9DCD" w14:textId="6F55B613" w:rsidR="003205A3" w:rsidRPr="00407724" w:rsidRDefault="00407724" w:rsidP="003205A3">
      <w:pPr>
        <w:shd w:val="clear" w:color="auto" w:fill="FFFFFF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205A3" w:rsidRPr="003205A3">
        <w:rPr>
          <w:rFonts w:cs="Arial"/>
          <w:szCs w:val="24"/>
        </w:rPr>
        <w:t xml:space="preserve">No caso </w:t>
      </w:r>
      <w:r>
        <w:rPr>
          <w:rFonts w:cs="Arial"/>
          <w:szCs w:val="24"/>
        </w:rPr>
        <w:t xml:space="preserve">telado o </w:t>
      </w:r>
      <w:r w:rsidRPr="00407724">
        <w:rPr>
          <w:rFonts w:cs="Arial"/>
          <w:b/>
          <w:szCs w:val="24"/>
        </w:rPr>
        <w:t xml:space="preserve">Exequente, </w:t>
      </w:r>
      <w:r w:rsidR="003205A3" w:rsidRPr="003205A3">
        <w:rPr>
          <w:rFonts w:cs="Arial"/>
          <w:szCs w:val="24"/>
        </w:rPr>
        <w:t>não providenciou a averbação da execução no registro imobiliário nem comprovou que o</w:t>
      </w:r>
      <w:r>
        <w:rPr>
          <w:rFonts w:cs="Arial"/>
          <w:szCs w:val="24"/>
        </w:rPr>
        <w:t xml:space="preserve"> adquirente sucessivo tinha</w:t>
      </w:r>
      <w:r w:rsidR="003205A3" w:rsidRPr="003205A3">
        <w:rPr>
          <w:rFonts w:cs="Arial"/>
          <w:szCs w:val="24"/>
        </w:rPr>
        <w:t xml:space="preserve"> conhecimento da ação em trâmite contra os ex</w:t>
      </w:r>
      <w:r>
        <w:rPr>
          <w:rFonts w:cs="Arial"/>
          <w:szCs w:val="24"/>
        </w:rPr>
        <w:t>ecutados. De tal forma que como o</w:t>
      </w:r>
      <w:r w:rsidRPr="00407724">
        <w:rPr>
          <w:rFonts w:cs="Arial"/>
          <w:b/>
          <w:szCs w:val="24"/>
        </w:rPr>
        <w:t xml:space="preserve"> Exequente</w:t>
      </w:r>
      <w:r>
        <w:rPr>
          <w:rFonts w:cs="Arial"/>
          <w:b/>
          <w:szCs w:val="24"/>
        </w:rPr>
        <w:t>,</w:t>
      </w:r>
      <w:r>
        <w:rPr>
          <w:rFonts w:cs="Arial"/>
          <w:szCs w:val="24"/>
        </w:rPr>
        <w:t xml:space="preserve"> n</w:t>
      </w:r>
      <w:r w:rsidR="000B1714">
        <w:rPr>
          <w:rFonts w:cs="Arial"/>
          <w:szCs w:val="24"/>
        </w:rPr>
        <w:t>ão se desi</w:t>
      </w:r>
      <w:r>
        <w:rPr>
          <w:rFonts w:cs="Arial"/>
          <w:szCs w:val="24"/>
        </w:rPr>
        <w:t>ncumbiu de demonstrar a má-fé do adquirente do imóvel o negócio jurídico entabulado entre as partes deve manter a sua eficácia.</w:t>
      </w:r>
    </w:p>
    <w:p w14:paraId="43B93AAF" w14:textId="18317955" w:rsidR="00407724" w:rsidRDefault="00407724" w:rsidP="00EB2321">
      <w:pPr>
        <w:shd w:val="clear" w:color="auto" w:fill="FFFFFF"/>
        <w:jc w:val="both"/>
        <w:rPr>
          <w:rFonts w:asciiTheme="minorHAnsi" w:hAnsiTheme="minorHAnsi" w:cs="Arial"/>
          <w:sz w:val="22"/>
        </w:rPr>
      </w:pPr>
    </w:p>
    <w:p w14:paraId="72E21681" w14:textId="77777777" w:rsidR="00FE4BBB" w:rsidRDefault="00DB22CD" w:rsidP="00FE4BBB">
      <w:pPr>
        <w:shd w:val="clear" w:color="auto" w:fill="FFFFFF"/>
        <w:jc w:val="both"/>
        <w:rPr>
          <w:rFonts w:cs="Arial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 w:rsidRPr="00FF779A">
        <w:rPr>
          <w:rFonts w:ascii="Brush Script MT" w:hAnsi="Brush Script MT"/>
          <w:b/>
          <w:bCs/>
          <w:sz w:val="40"/>
          <w:szCs w:val="18"/>
        </w:rPr>
        <w:t>Plecaro Decisor,</w:t>
      </w:r>
      <w:r w:rsidRPr="00267A61">
        <w:rPr>
          <w:rFonts w:ascii="Brush Script MT" w:hAnsi="Brush Script MT"/>
          <w:b/>
          <w:bCs/>
          <w:sz w:val="36"/>
          <w:szCs w:val="16"/>
        </w:rPr>
        <w:t xml:space="preserve"> </w:t>
      </w:r>
      <w:r w:rsidR="00EB2321">
        <w:rPr>
          <w:rFonts w:cs="Arial"/>
          <w:spacing w:val="2"/>
          <w:szCs w:val="24"/>
        </w:rPr>
        <w:t>à vista d</w:t>
      </w:r>
      <w:r w:rsidR="00691D83" w:rsidRPr="00691D83">
        <w:rPr>
          <w:rFonts w:cs="Arial"/>
          <w:spacing w:val="2"/>
          <w:szCs w:val="24"/>
        </w:rPr>
        <w:t xml:space="preserve">o exposto, </w:t>
      </w:r>
      <w:r w:rsidR="00691D83" w:rsidRPr="00EB2321">
        <w:rPr>
          <w:rFonts w:cs="Arial"/>
          <w:b/>
          <w:bCs/>
          <w:spacing w:val="2"/>
          <w:szCs w:val="24"/>
        </w:rPr>
        <w:t xml:space="preserve">requer-se </w:t>
      </w:r>
      <w:r w:rsidR="00C36122">
        <w:rPr>
          <w:rFonts w:cs="Arial"/>
          <w:spacing w:val="2"/>
          <w:szCs w:val="24"/>
        </w:rPr>
        <w:t>a manutenção da partilha na forma entabulada no inventário</w:t>
      </w:r>
      <w:r w:rsidR="005957AF">
        <w:rPr>
          <w:rFonts w:cs="Arial"/>
          <w:spacing w:val="2"/>
          <w:szCs w:val="24"/>
        </w:rPr>
        <w:t xml:space="preserve"> e</w:t>
      </w:r>
      <w:r w:rsidR="00D103AC">
        <w:rPr>
          <w:rFonts w:cs="Arial"/>
          <w:spacing w:val="2"/>
          <w:szCs w:val="24"/>
        </w:rPr>
        <w:t xml:space="preserve"> a</w:t>
      </w:r>
      <w:r w:rsidR="005957AF">
        <w:rPr>
          <w:rFonts w:cs="Arial"/>
          <w:spacing w:val="2"/>
          <w:szCs w:val="24"/>
        </w:rPr>
        <w:t xml:space="preserve"> </w:t>
      </w:r>
      <w:r w:rsidR="005957AF" w:rsidRPr="005957AF">
        <w:rPr>
          <w:rFonts w:cs="Arial"/>
          <w:b/>
          <w:spacing w:val="2"/>
          <w:szCs w:val="24"/>
          <w:u w:val="single"/>
        </w:rPr>
        <w:t>não</w:t>
      </w:r>
      <w:r w:rsidR="005957AF">
        <w:rPr>
          <w:rFonts w:cs="Arial"/>
          <w:spacing w:val="2"/>
          <w:szCs w:val="24"/>
        </w:rPr>
        <w:t xml:space="preserve"> penhora do imóvel</w:t>
      </w:r>
      <w:r w:rsidR="00CC0923">
        <w:rPr>
          <w:rFonts w:cs="Arial"/>
          <w:spacing w:val="2"/>
          <w:szCs w:val="24"/>
        </w:rPr>
        <w:t>, mantendo-se a eficácia da alienação do bem imóvel</w:t>
      </w:r>
      <w:r w:rsidR="004D282E">
        <w:rPr>
          <w:rFonts w:cs="Arial"/>
          <w:spacing w:val="2"/>
          <w:szCs w:val="24"/>
        </w:rPr>
        <w:t xml:space="preserve"> de </w:t>
      </w:r>
      <w:r w:rsidR="004D282E" w:rsidRPr="00924056">
        <w:rPr>
          <w:rFonts w:cs="Arial"/>
        </w:rPr>
        <w:t>matrícula imob</w:t>
      </w:r>
      <w:r w:rsidR="004D282E">
        <w:rPr>
          <w:rFonts w:cs="Arial"/>
        </w:rPr>
        <w:t>iliária nº 5.973 (id 2f43ef7)</w:t>
      </w:r>
      <w:r w:rsidR="00FE4BBB">
        <w:rPr>
          <w:rFonts w:cs="Arial"/>
          <w:spacing w:val="2"/>
          <w:szCs w:val="24"/>
        </w:rPr>
        <w:t>, requerendo ainda a</w:t>
      </w:r>
      <w:r w:rsidR="00FE4BBB" w:rsidRPr="00FC0684">
        <w:rPr>
          <w:rFonts w:cs="Arial"/>
          <w:szCs w:val="24"/>
        </w:rPr>
        <w:t xml:space="preserve"> condenação do </w:t>
      </w:r>
      <w:r w:rsidR="00FE4BBB" w:rsidRPr="00FE4BBB">
        <w:rPr>
          <w:rFonts w:cs="Arial"/>
          <w:b/>
          <w:szCs w:val="24"/>
        </w:rPr>
        <w:t>E</w:t>
      </w:r>
      <w:r w:rsidR="00FE4BBB" w:rsidRPr="00FE4BBB">
        <w:rPr>
          <w:rFonts w:cs="Arial"/>
          <w:b/>
          <w:szCs w:val="24"/>
        </w:rPr>
        <w:t>xequente</w:t>
      </w:r>
      <w:r w:rsidR="00FE4BBB" w:rsidRPr="00FC0684">
        <w:rPr>
          <w:rFonts w:cs="Arial"/>
          <w:szCs w:val="24"/>
        </w:rPr>
        <w:t xml:space="preserve"> ao pagamento das custas e despesas processuais,</w:t>
      </w:r>
      <w:r w:rsidR="00FE4BBB">
        <w:rPr>
          <w:rFonts w:cs="Arial"/>
          <w:szCs w:val="24"/>
        </w:rPr>
        <w:t xml:space="preserve"> </w:t>
      </w:r>
      <w:r w:rsidR="00FE4BBB" w:rsidRPr="00FC0684">
        <w:rPr>
          <w:rFonts w:cs="Arial"/>
          <w:szCs w:val="24"/>
        </w:rPr>
        <w:t>bem como honorários advocatícios</w:t>
      </w:r>
      <w:r w:rsidR="00FE4BBB">
        <w:rPr>
          <w:rFonts w:cs="Arial"/>
          <w:szCs w:val="24"/>
        </w:rPr>
        <w:t xml:space="preserve"> na forma de estilo.</w:t>
      </w:r>
    </w:p>
    <w:p w14:paraId="5965A121" w14:textId="59D8CB5E" w:rsidR="00FE4BBB" w:rsidRDefault="00FE4BBB" w:rsidP="00FE4BBB">
      <w:pPr>
        <w:shd w:val="clear" w:color="auto" w:fill="FFFFFF"/>
        <w:jc w:val="both"/>
        <w:rPr>
          <w:rFonts w:cs="Arial"/>
          <w:szCs w:val="24"/>
        </w:rPr>
      </w:pPr>
    </w:p>
    <w:p w14:paraId="6CFEC936" w14:textId="77777777" w:rsidR="00FE4BBB" w:rsidRDefault="00FE4BBB" w:rsidP="00FE4BBB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1CAA5CCA" w14:textId="77777777" w:rsidR="00FE4BBB" w:rsidRDefault="00FE4BBB" w:rsidP="00FE4BBB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1F7F11D2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</w:t>
      </w:r>
      <w:r w:rsidR="00150554">
        <w:rPr>
          <w:rFonts w:cs="Arial"/>
          <w:szCs w:val="24"/>
        </w:rPr>
        <w:t>m</w:t>
      </w:r>
      <w:r w:rsidRPr="00F45D54">
        <w:rPr>
          <w:rFonts w:cs="Arial"/>
          <w:szCs w:val="24"/>
        </w:rPr>
        <w:t xml:space="preserve"> deferimento.</w:t>
      </w: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7E78CA90" w14:textId="4F41989A" w:rsidR="004D282E" w:rsidRDefault="004D282E" w:rsidP="00EB2321">
      <w:pPr>
        <w:ind w:left="1701"/>
        <w:jc w:val="right"/>
        <w:rPr>
          <w:rFonts w:cs="Arial"/>
        </w:rPr>
      </w:pPr>
    </w:p>
    <w:p w14:paraId="22881F1E" w14:textId="77777777" w:rsidR="00632A06" w:rsidRDefault="00632A06" w:rsidP="00EB2321">
      <w:pPr>
        <w:ind w:left="1701"/>
        <w:jc w:val="right"/>
        <w:rPr>
          <w:rFonts w:cs="Arial"/>
        </w:rPr>
      </w:pPr>
    </w:p>
    <w:p w14:paraId="62B8AC12" w14:textId="7E2F7A6E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91D83">
        <w:rPr>
          <w:rFonts w:cs="Arial"/>
        </w:rPr>
        <w:t>1</w:t>
      </w:r>
      <w:r w:rsidR="006B4F3E">
        <w:rPr>
          <w:rFonts w:cs="Arial"/>
        </w:rPr>
        <w:t>8</w:t>
      </w:r>
      <w:r w:rsidRPr="0048369E">
        <w:rPr>
          <w:rFonts w:cs="Arial"/>
        </w:rPr>
        <w:t xml:space="preserve"> de </w:t>
      </w:r>
      <w:r w:rsidR="006B4F3E">
        <w:rPr>
          <w:rFonts w:cs="Arial"/>
        </w:rPr>
        <w:t xml:space="preserve">Agosto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6B4F3E">
        <w:rPr>
          <w:rFonts w:cs="Arial"/>
        </w:rPr>
        <w:t>2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280445E8" w14:textId="59560D08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553EBEC7" w14:textId="77777777" w:rsidR="00632A06" w:rsidRDefault="00632A06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631"/>
        <w:gridCol w:w="4177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22352791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D5FA936" w14:textId="5B9022C0" w:rsidR="00791CE1" w:rsidRDefault="00791CE1" w:rsidP="004D282E">
      <w:pPr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BB99" w14:textId="77777777" w:rsidR="00477CE6" w:rsidRDefault="00477CE6">
      <w:r>
        <w:separator/>
      </w:r>
    </w:p>
  </w:endnote>
  <w:endnote w:type="continuationSeparator" w:id="0">
    <w:p w14:paraId="4EBF178D" w14:textId="77777777" w:rsidR="00477CE6" w:rsidRDefault="004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  <w:p w14:paraId="02856E62" w14:textId="77777777" w:rsidR="00000000" w:rsidRDefault="00CF028C"/>
  <w:p w14:paraId="3C43922B" w14:textId="77777777" w:rsidR="00000000" w:rsidRDefault="00CF028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70A4864C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028C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C714BAA" w14:textId="36D20FB8" w:rsidR="00D76835" w:rsidRDefault="00CF028C" w:rsidP="00615EC1">
    <w:pPr>
      <w:pStyle w:val="Rodap"/>
      <w:jc w:val="center"/>
    </w:pPr>
    <w:r>
      <w:pict w14:anchorId="0F826CE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14:paraId="4ACE1E43" w14:textId="77777777" w:rsidR="00000000" w:rsidRDefault="00CF028C"/>
  <w:p w14:paraId="69218AEC" w14:textId="77777777" w:rsidR="00000000" w:rsidRDefault="00CF02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5F7A" w14:textId="77777777" w:rsidR="00477CE6" w:rsidRDefault="00477CE6">
      <w:r>
        <w:separator/>
      </w:r>
    </w:p>
  </w:footnote>
  <w:footnote w:type="continuationSeparator" w:id="0">
    <w:p w14:paraId="43733FBC" w14:textId="77777777" w:rsidR="00477CE6" w:rsidRDefault="0047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5" type="#_x0000_t75" style="width:53.2pt;height:36.95pt" o:ole="">
                <v:imagedata r:id="rId1" o:title=""/>
              </v:shape>
              <o:OLEObject Type="Embed" ProgID="PBrush" ShapeID="_x0000_i1055" DrawAspect="Content" ObjectID="_1722352792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77777777" w:rsidR="00D76835" w:rsidRPr="00042934" w:rsidRDefault="00CF028C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03BC06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1AB79049" w:rsidR="00532341" w:rsidRPr="00777780" w:rsidRDefault="00CF028C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</w:tc>
    </w:tr>
  </w:tbl>
  <w:p w14:paraId="5B3C0C36" w14:textId="77777777" w:rsidR="00D76835" w:rsidRPr="00042934" w:rsidRDefault="00CF028C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5F494A73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21D064B"/>
    <w:multiLevelType w:val="hybridMultilevel"/>
    <w:tmpl w:val="396C5866"/>
    <w:lvl w:ilvl="0" w:tplc="AD48232C">
      <w:start w:val="2"/>
      <w:numFmt w:val="decimal"/>
      <w:lvlText w:val="%1."/>
      <w:lvlJc w:val="left"/>
      <w:pPr>
        <w:ind w:left="372" w:hanging="273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1" w:tplc="989C2786">
      <w:start w:val="29"/>
      <w:numFmt w:val="decimal"/>
      <w:lvlText w:val="%2."/>
      <w:lvlJc w:val="left"/>
      <w:pPr>
        <w:ind w:left="100" w:hanging="504"/>
        <w:jc w:val="right"/>
      </w:pPr>
      <w:rPr>
        <w:rFonts w:ascii="Calibri Light" w:eastAsia="Calibri Light" w:hAnsi="Calibri Light" w:cs="Calibri Light" w:hint="default"/>
        <w:spacing w:val="-1"/>
        <w:w w:val="100"/>
        <w:sz w:val="28"/>
        <w:szCs w:val="28"/>
        <w:lang w:val="pt-PT" w:eastAsia="en-US" w:bidi="ar-SA"/>
      </w:rPr>
    </w:lvl>
    <w:lvl w:ilvl="2" w:tplc="CA781BF0">
      <w:start w:val="1"/>
      <w:numFmt w:val="decimal"/>
      <w:lvlText w:val="%3)"/>
      <w:lvlJc w:val="left"/>
      <w:pPr>
        <w:ind w:left="1300" w:hanging="270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en-US" w:bidi="ar-SA"/>
      </w:rPr>
    </w:lvl>
    <w:lvl w:ilvl="3" w:tplc="10249DBA">
      <w:numFmt w:val="bullet"/>
      <w:lvlText w:val="•"/>
      <w:lvlJc w:val="left"/>
      <w:pPr>
        <w:ind w:left="2335" w:hanging="270"/>
      </w:pPr>
      <w:rPr>
        <w:rFonts w:hint="default"/>
        <w:lang w:val="pt-PT" w:eastAsia="en-US" w:bidi="ar-SA"/>
      </w:rPr>
    </w:lvl>
    <w:lvl w:ilvl="4" w:tplc="6936A262">
      <w:numFmt w:val="bullet"/>
      <w:lvlText w:val="•"/>
      <w:lvlJc w:val="left"/>
      <w:pPr>
        <w:ind w:left="3370" w:hanging="270"/>
      </w:pPr>
      <w:rPr>
        <w:rFonts w:hint="default"/>
        <w:lang w:val="pt-PT" w:eastAsia="en-US" w:bidi="ar-SA"/>
      </w:rPr>
    </w:lvl>
    <w:lvl w:ilvl="5" w:tplc="FE8CEC12">
      <w:numFmt w:val="bullet"/>
      <w:lvlText w:val="•"/>
      <w:lvlJc w:val="left"/>
      <w:pPr>
        <w:ind w:left="4405" w:hanging="270"/>
      </w:pPr>
      <w:rPr>
        <w:rFonts w:hint="default"/>
        <w:lang w:val="pt-PT" w:eastAsia="en-US" w:bidi="ar-SA"/>
      </w:rPr>
    </w:lvl>
    <w:lvl w:ilvl="6" w:tplc="306AE2A6">
      <w:numFmt w:val="bullet"/>
      <w:lvlText w:val="•"/>
      <w:lvlJc w:val="left"/>
      <w:pPr>
        <w:ind w:left="5440" w:hanging="270"/>
      </w:pPr>
      <w:rPr>
        <w:rFonts w:hint="default"/>
        <w:lang w:val="pt-PT" w:eastAsia="en-US" w:bidi="ar-SA"/>
      </w:rPr>
    </w:lvl>
    <w:lvl w:ilvl="7" w:tplc="948C55EE">
      <w:numFmt w:val="bullet"/>
      <w:lvlText w:val="•"/>
      <w:lvlJc w:val="left"/>
      <w:pPr>
        <w:ind w:left="6475" w:hanging="270"/>
      </w:pPr>
      <w:rPr>
        <w:rFonts w:hint="default"/>
        <w:lang w:val="pt-PT" w:eastAsia="en-US" w:bidi="ar-SA"/>
      </w:rPr>
    </w:lvl>
    <w:lvl w:ilvl="8" w:tplc="21622802">
      <w:numFmt w:val="bullet"/>
      <w:lvlText w:val="•"/>
      <w:lvlJc w:val="left"/>
      <w:pPr>
        <w:ind w:left="7510" w:hanging="270"/>
      </w:pPr>
      <w:rPr>
        <w:rFonts w:hint="default"/>
        <w:lang w:val="pt-PT" w:eastAsia="en-US" w:bidi="ar-SA"/>
      </w:rPr>
    </w:lvl>
  </w:abstractNum>
  <w:abstractNum w:abstractNumId="12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4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5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6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8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3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4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6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3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7"/>
  </w:num>
  <w:num w:numId="5">
    <w:abstractNumId w:val="30"/>
  </w:num>
  <w:num w:numId="6">
    <w:abstractNumId w:val="13"/>
  </w:num>
  <w:num w:numId="7">
    <w:abstractNumId w:val="4"/>
  </w:num>
  <w:num w:numId="8">
    <w:abstractNumId w:val="31"/>
  </w:num>
  <w:num w:numId="9">
    <w:abstractNumId w:val="6"/>
  </w:num>
  <w:num w:numId="10">
    <w:abstractNumId w:val="34"/>
  </w:num>
  <w:num w:numId="11">
    <w:abstractNumId w:val="12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5"/>
  </w:num>
  <w:num w:numId="19">
    <w:abstractNumId w:val="17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3"/>
  </w:num>
  <w:num w:numId="24">
    <w:abstractNumId w:val="9"/>
  </w:num>
  <w:num w:numId="25">
    <w:abstractNumId w:val="15"/>
  </w:num>
  <w:num w:numId="26">
    <w:abstractNumId w:val="18"/>
  </w:num>
  <w:num w:numId="27">
    <w:abstractNumId w:val="22"/>
  </w:num>
  <w:num w:numId="28">
    <w:abstractNumId w:val="19"/>
  </w:num>
  <w:num w:numId="29">
    <w:abstractNumId w:val="25"/>
  </w:num>
  <w:num w:numId="30">
    <w:abstractNumId w:val="23"/>
  </w:num>
  <w:num w:numId="31">
    <w:abstractNumId w:val="33"/>
  </w:num>
  <w:num w:numId="32">
    <w:abstractNumId w:val="26"/>
  </w:num>
  <w:num w:numId="33">
    <w:abstractNumId w:val="14"/>
  </w:num>
  <w:num w:numId="34">
    <w:abstractNumId w:val="1"/>
  </w:num>
  <w:num w:numId="35">
    <w:abstractNumId w:val="7"/>
  </w:num>
  <w:num w:numId="3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59C0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263"/>
    <w:rsid w:val="000954E1"/>
    <w:rsid w:val="000A426A"/>
    <w:rsid w:val="000A4477"/>
    <w:rsid w:val="000A46F9"/>
    <w:rsid w:val="000A4A41"/>
    <w:rsid w:val="000A6F6A"/>
    <w:rsid w:val="000B004D"/>
    <w:rsid w:val="000B1714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2DD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AEE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554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26D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6536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7C0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3EB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5A3"/>
    <w:rsid w:val="00320E5E"/>
    <w:rsid w:val="0032215A"/>
    <w:rsid w:val="00322293"/>
    <w:rsid w:val="00322B27"/>
    <w:rsid w:val="00324876"/>
    <w:rsid w:val="0033186F"/>
    <w:rsid w:val="00333C59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62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7724"/>
    <w:rsid w:val="00407E0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282E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776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4AF"/>
    <w:rsid w:val="00552DE8"/>
    <w:rsid w:val="005532C6"/>
    <w:rsid w:val="005552B8"/>
    <w:rsid w:val="005556CA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57AF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24E"/>
    <w:rsid w:val="00623F09"/>
    <w:rsid w:val="006253C2"/>
    <w:rsid w:val="00625510"/>
    <w:rsid w:val="006256D0"/>
    <w:rsid w:val="00627126"/>
    <w:rsid w:val="006313C5"/>
    <w:rsid w:val="006315FD"/>
    <w:rsid w:val="00631BCE"/>
    <w:rsid w:val="00632A06"/>
    <w:rsid w:val="00632B77"/>
    <w:rsid w:val="0063448F"/>
    <w:rsid w:val="0063680A"/>
    <w:rsid w:val="00636C94"/>
    <w:rsid w:val="00637E90"/>
    <w:rsid w:val="006405E9"/>
    <w:rsid w:val="00641065"/>
    <w:rsid w:val="00642253"/>
    <w:rsid w:val="00642585"/>
    <w:rsid w:val="00642B78"/>
    <w:rsid w:val="00642FC6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6D8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F3E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7780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636A"/>
    <w:rsid w:val="007B71E2"/>
    <w:rsid w:val="007B725C"/>
    <w:rsid w:val="007B7747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98F"/>
    <w:rsid w:val="00844C3E"/>
    <w:rsid w:val="00845A12"/>
    <w:rsid w:val="00851C46"/>
    <w:rsid w:val="00853AF6"/>
    <w:rsid w:val="00854B3E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B82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0658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4056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14D4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7AB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0718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E0F"/>
    <w:rsid w:val="00AE3E49"/>
    <w:rsid w:val="00AE4772"/>
    <w:rsid w:val="00AE5005"/>
    <w:rsid w:val="00AE5E00"/>
    <w:rsid w:val="00AE6E31"/>
    <w:rsid w:val="00AE74FA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044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30C02"/>
    <w:rsid w:val="00C3612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51E0"/>
    <w:rsid w:val="00C77884"/>
    <w:rsid w:val="00C77935"/>
    <w:rsid w:val="00C77CDB"/>
    <w:rsid w:val="00C81385"/>
    <w:rsid w:val="00C81826"/>
    <w:rsid w:val="00C81BBA"/>
    <w:rsid w:val="00C81C6C"/>
    <w:rsid w:val="00C84571"/>
    <w:rsid w:val="00C84640"/>
    <w:rsid w:val="00C8607F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588"/>
    <w:rsid w:val="00CB7E39"/>
    <w:rsid w:val="00CC0923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28C"/>
    <w:rsid w:val="00CF0500"/>
    <w:rsid w:val="00CF2342"/>
    <w:rsid w:val="00CF42D5"/>
    <w:rsid w:val="00D012A2"/>
    <w:rsid w:val="00D016B6"/>
    <w:rsid w:val="00D030DC"/>
    <w:rsid w:val="00D031F4"/>
    <w:rsid w:val="00D0333B"/>
    <w:rsid w:val="00D0427F"/>
    <w:rsid w:val="00D0555C"/>
    <w:rsid w:val="00D103A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4FBE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346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47E4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0AE1"/>
    <w:rsid w:val="00F012C8"/>
    <w:rsid w:val="00F01D44"/>
    <w:rsid w:val="00F0251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26D5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2189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0684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4BB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  <o:rules v:ext="edit">
        <o:r id="V:Rule1" type="callout" idref="#_x0000_s1557"/>
      </o:rules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36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39">
          <w:blockQuote w:val="1"/>
          <w:marLeft w:val="0"/>
          <w:marRight w:val="0"/>
          <w:marTop w:val="525"/>
          <w:marBottom w:val="525"/>
          <w:divBdr>
            <w:top w:val="none" w:sz="0" w:space="0" w:color="auto"/>
            <w:left w:val="single" w:sz="36" w:space="23" w:color="8CC052"/>
            <w:bottom w:val="none" w:sz="0" w:space="0" w:color="auto"/>
            <w:right w:val="none" w:sz="0" w:space="0" w:color="auto"/>
          </w:divBdr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6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BF735C"/>
            <w:bottom w:val="none" w:sz="0" w:space="0" w:color="auto"/>
            <w:right w:val="none" w:sz="0" w:space="0" w:color="auto"/>
          </w:divBdr>
        </w:div>
      </w:divsChild>
    </w:div>
    <w:div w:id="87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9978E-9D64-45BE-8B94-B6E4035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2157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13783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93</cp:revision>
  <cp:lastPrinted>2022-08-18T14:43:00Z</cp:lastPrinted>
  <dcterms:created xsi:type="dcterms:W3CDTF">2016-02-26T12:06:00Z</dcterms:created>
  <dcterms:modified xsi:type="dcterms:W3CDTF">2022-08-18T21:32:00Z</dcterms:modified>
</cp:coreProperties>
</file>