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BB" w:rsidRDefault="009B0FE5" w:rsidP="0048751B">
      <w:pPr>
        <w:pStyle w:val="Ttulo1"/>
        <w:jc w:val="both"/>
      </w:pPr>
      <w:r>
        <w:t>Terceira Turma reconhece prescrição intercorrente em execução paralisad</w:t>
      </w:r>
      <w:r w:rsidR="0048751B">
        <w:t>a por falta de bens penhoráveis.</w:t>
      </w:r>
    </w:p>
    <w:p w:rsidR="009B0FE5" w:rsidRPr="00BC4DBB" w:rsidRDefault="009B0FE5" w:rsidP="00BC4DBB">
      <w:pPr>
        <w:pStyle w:val="NormalWeb"/>
        <w:jc w:val="both"/>
        <w:rPr>
          <w:rFonts w:ascii="Arial" w:hAnsi="Arial" w:cs="Arial"/>
        </w:rPr>
      </w:pPr>
      <w:r w:rsidRPr="00BC4DBB">
        <w:rPr>
          <w:rFonts w:ascii="Arial" w:hAnsi="Arial" w:cs="Arial"/>
        </w:rPr>
        <w:t>A Terceira Turma do Superior Tribunal de Justiça (STJ) aplicou a prescrição intercorrente em execução ajuizada pelo banco Bradesco e suspensa por 13 anos por inexistência de bens penhoráveis dos devedores. A decisão altera jurisprudência em sentido contrário ao da que vinha sendo aplicada desde o início da década de 90.</w:t>
      </w:r>
    </w:p>
    <w:p w:rsidR="009B0FE5" w:rsidRPr="00BC4DBB" w:rsidRDefault="009B0FE5" w:rsidP="00BC4DBB">
      <w:pPr>
        <w:pStyle w:val="NormalWeb"/>
        <w:jc w:val="both"/>
        <w:rPr>
          <w:rFonts w:ascii="Arial" w:hAnsi="Arial" w:cs="Arial"/>
        </w:rPr>
      </w:pPr>
      <w:r w:rsidRPr="00BC4DBB">
        <w:rPr>
          <w:rFonts w:ascii="Arial" w:hAnsi="Arial" w:cs="Arial"/>
        </w:rPr>
        <w:t xml:space="preserve">Em 1963, o Supremo Tribunal Federal (então competente para uniformizar a interpretação da lei federal) editou a </w:t>
      </w:r>
      <w:r w:rsidRPr="00BC4DBB">
        <w:rPr>
          <w:rStyle w:val="Forte"/>
          <w:rFonts w:ascii="Arial" w:hAnsi="Arial" w:cs="Arial"/>
        </w:rPr>
        <w:t>Súmula 150</w:t>
      </w:r>
      <w:r w:rsidRPr="00BC4DBB">
        <w:rPr>
          <w:rFonts w:ascii="Arial" w:hAnsi="Arial" w:cs="Arial"/>
        </w:rPr>
        <w:t xml:space="preserve">, estabelecendo que a execução </w:t>
      </w:r>
      <w:proofErr w:type="gramStart"/>
      <w:r w:rsidRPr="00BC4DBB">
        <w:rPr>
          <w:rFonts w:ascii="Arial" w:hAnsi="Arial" w:cs="Arial"/>
        </w:rPr>
        <w:t>prescreve</w:t>
      </w:r>
      <w:proofErr w:type="gramEnd"/>
      <w:r w:rsidRPr="00BC4DBB">
        <w:rPr>
          <w:rFonts w:ascii="Arial" w:hAnsi="Arial" w:cs="Arial"/>
        </w:rPr>
        <w:t xml:space="preserve"> no mesmo prazo de prescrição da ação. Com o advento da </w:t>
      </w:r>
      <w:hyperlink r:id="rId7" w:tooltip="CONSTITUIÇÃO DA REPÚBLICA FEDERATIVA DO BRASIL DE 1988" w:history="1">
        <w:r w:rsidRPr="00BC4DBB">
          <w:rPr>
            <w:rStyle w:val="Hyperlink"/>
            <w:rFonts w:ascii="Arial" w:hAnsi="Arial" w:cs="Arial"/>
          </w:rPr>
          <w:t>Constituição</w:t>
        </w:r>
      </w:hyperlink>
      <w:r w:rsidRPr="00BC4DBB">
        <w:rPr>
          <w:rFonts w:ascii="Arial" w:hAnsi="Arial" w:cs="Arial"/>
        </w:rPr>
        <w:t xml:space="preserve"> de 1988, a competência de uniformizar a interpretação da lei federal foi atribuída ao STJ.</w:t>
      </w:r>
    </w:p>
    <w:p w:rsidR="009B0FE5" w:rsidRPr="00BC4DBB" w:rsidRDefault="009B0FE5" w:rsidP="00BC4DBB">
      <w:pPr>
        <w:pStyle w:val="NormalWeb"/>
        <w:jc w:val="both"/>
        <w:rPr>
          <w:rFonts w:ascii="Arial" w:hAnsi="Arial" w:cs="Arial"/>
        </w:rPr>
      </w:pPr>
      <w:r w:rsidRPr="00BC4DBB">
        <w:rPr>
          <w:rFonts w:ascii="Arial" w:hAnsi="Arial" w:cs="Arial"/>
        </w:rPr>
        <w:t xml:space="preserve">No âmbito desta corte, após intenso debate entre os ministros em sessão ocorrida em 1993, prevaleceu a tese de que a Súmula 150 do STF seria inaplicável na hipótese de execução suspensa por ausência de bens penhoráveis. Dessa forma, seria necessária prévia intimação do credor antes de se proclamar a prescrição intercorrente. Esse </w:t>
      </w:r>
      <w:proofErr w:type="gramStart"/>
      <w:r w:rsidRPr="00BC4DBB">
        <w:rPr>
          <w:rFonts w:ascii="Arial" w:hAnsi="Arial" w:cs="Arial"/>
        </w:rPr>
        <w:t>entendimento</w:t>
      </w:r>
      <w:proofErr w:type="gramEnd"/>
      <w:r w:rsidRPr="00BC4DBB">
        <w:rPr>
          <w:rFonts w:ascii="Arial" w:hAnsi="Arial" w:cs="Arial"/>
        </w:rPr>
        <w:t xml:space="preserve"> tem prevalecido, desde então, nas duas turmas de direito privado.</w:t>
      </w:r>
    </w:p>
    <w:p w:rsidR="009B0FE5" w:rsidRPr="00BC4DBB" w:rsidRDefault="009B0FE5" w:rsidP="00BC4DBB">
      <w:pPr>
        <w:pStyle w:val="NormalWeb"/>
        <w:jc w:val="both"/>
        <w:rPr>
          <w:rFonts w:ascii="Arial" w:hAnsi="Arial" w:cs="Arial"/>
        </w:rPr>
      </w:pPr>
      <w:r w:rsidRPr="00BC4DBB">
        <w:rPr>
          <w:rStyle w:val="Forte"/>
          <w:rFonts w:ascii="Arial" w:hAnsi="Arial" w:cs="Arial"/>
        </w:rPr>
        <w:t>Alteração</w:t>
      </w:r>
    </w:p>
    <w:p w:rsidR="009B0FE5" w:rsidRPr="00BC4DBB" w:rsidRDefault="009B0FE5" w:rsidP="00BC4DBB">
      <w:pPr>
        <w:pStyle w:val="NormalWeb"/>
        <w:jc w:val="both"/>
        <w:rPr>
          <w:rFonts w:ascii="Arial" w:hAnsi="Arial" w:cs="Arial"/>
        </w:rPr>
      </w:pPr>
      <w:r w:rsidRPr="00BC4DBB">
        <w:rPr>
          <w:rFonts w:ascii="Arial" w:hAnsi="Arial" w:cs="Arial"/>
        </w:rPr>
        <w:t xml:space="preserve">O ministro Paulo de Tarso </w:t>
      </w:r>
      <w:proofErr w:type="spellStart"/>
      <w:r w:rsidRPr="00BC4DBB">
        <w:rPr>
          <w:rFonts w:ascii="Arial" w:hAnsi="Arial" w:cs="Arial"/>
        </w:rPr>
        <w:t>Sanseverino</w:t>
      </w:r>
      <w:proofErr w:type="spellEnd"/>
      <w:r w:rsidRPr="00BC4DBB">
        <w:rPr>
          <w:rFonts w:ascii="Arial" w:hAnsi="Arial" w:cs="Arial"/>
        </w:rPr>
        <w:t xml:space="preserve">, relator do recurso, afirmou que o entendimento anterior tinha como consequência indesejável permitir a </w:t>
      </w:r>
      <w:proofErr w:type="spellStart"/>
      <w:r w:rsidRPr="00BC4DBB">
        <w:rPr>
          <w:rFonts w:ascii="Arial" w:hAnsi="Arial" w:cs="Arial"/>
        </w:rPr>
        <w:t>eternização</w:t>
      </w:r>
      <w:proofErr w:type="spellEnd"/>
      <w:r w:rsidRPr="00BC4DBB">
        <w:rPr>
          <w:rFonts w:ascii="Arial" w:hAnsi="Arial" w:cs="Arial"/>
        </w:rPr>
        <w:t xml:space="preserve"> das ações de execução. Essa situação, segundo ele, não é compatível com o objetivo de pacificação social que a Justiça almeja. Por essa razão, existem os prazos prescricionais.</w:t>
      </w:r>
    </w:p>
    <w:p w:rsidR="009B0FE5" w:rsidRPr="00BC4DBB" w:rsidRDefault="009B0FE5" w:rsidP="00BC4DBB">
      <w:pPr>
        <w:pStyle w:val="NormalWeb"/>
        <w:jc w:val="both"/>
        <w:rPr>
          <w:rFonts w:ascii="Arial" w:hAnsi="Arial" w:cs="Arial"/>
        </w:rPr>
      </w:pPr>
      <w:r w:rsidRPr="00BC4DBB">
        <w:rPr>
          <w:rFonts w:ascii="Arial" w:hAnsi="Arial" w:cs="Arial"/>
        </w:rPr>
        <w:t xml:space="preserve">Além disso, o novo </w:t>
      </w:r>
      <w:hyperlink r:id="rId8" w:tooltip="Lei no 5.869, de 11 de janeiro de 1973." w:history="1">
        <w:r w:rsidRPr="00BC4DBB">
          <w:rPr>
            <w:rStyle w:val="Hyperlink"/>
            <w:rFonts w:ascii="Arial" w:hAnsi="Arial" w:cs="Arial"/>
          </w:rPr>
          <w:t>Código de Processo Civil</w:t>
        </w:r>
      </w:hyperlink>
      <w:r w:rsidRPr="00BC4DBB">
        <w:rPr>
          <w:rFonts w:ascii="Arial" w:hAnsi="Arial" w:cs="Arial"/>
        </w:rPr>
        <w:t xml:space="preserve">, que entrará em vigor em março de 2016, previu a prescrição intercorrente em seu </w:t>
      </w:r>
      <w:r w:rsidRPr="00BC4DBB">
        <w:rPr>
          <w:rStyle w:val="Forte"/>
          <w:rFonts w:ascii="Arial" w:hAnsi="Arial" w:cs="Arial"/>
        </w:rPr>
        <w:t xml:space="preserve">artigo </w:t>
      </w:r>
      <w:hyperlink r:id="rId9" w:tooltip="Artigo 921 da Lei nº 5.869 de 11 de Janeiro de 1973" w:history="1">
        <w:r w:rsidRPr="00BC4DBB">
          <w:rPr>
            <w:rStyle w:val="Hyperlink"/>
            <w:rFonts w:ascii="Arial" w:hAnsi="Arial" w:cs="Arial"/>
            <w:b/>
            <w:bCs/>
          </w:rPr>
          <w:t>921</w:t>
        </w:r>
      </w:hyperlink>
      <w:r w:rsidRPr="00BC4DBB">
        <w:rPr>
          <w:rFonts w:ascii="Arial" w:hAnsi="Arial" w:cs="Arial"/>
        </w:rPr>
        <w:t>, na hipótese de suspensão da execução por ausência de bens penhoráveis, contando-se o prazo prescricional após um ano de suspensão do processo.</w:t>
      </w:r>
    </w:p>
    <w:p w:rsidR="009B0FE5" w:rsidRPr="00BC4DBB" w:rsidRDefault="009B0FE5" w:rsidP="00BC4DBB">
      <w:pPr>
        <w:pStyle w:val="NormalWeb"/>
        <w:jc w:val="both"/>
        <w:rPr>
          <w:rFonts w:ascii="Arial" w:hAnsi="Arial" w:cs="Arial"/>
        </w:rPr>
      </w:pPr>
      <w:r w:rsidRPr="00BC4DBB">
        <w:rPr>
          <w:rFonts w:ascii="Arial" w:hAnsi="Arial" w:cs="Arial"/>
        </w:rPr>
        <w:t xml:space="preserve">Segundo a turma, como o atual </w:t>
      </w:r>
      <w:hyperlink r:id="rId10" w:tooltip="Lei no 5.869, de 11 de janeiro de 1973." w:history="1">
        <w:r w:rsidRPr="00BC4DBB">
          <w:rPr>
            <w:rStyle w:val="Hyperlink"/>
            <w:rFonts w:ascii="Arial" w:hAnsi="Arial" w:cs="Arial"/>
          </w:rPr>
          <w:t>CPC</w:t>
        </w:r>
      </w:hyperlink>
      <w:r w:rsidRPr="00BC4DBB">
        <w:rPr>
          <w:rFonts w:ascii="Arial" w:hAnsi="Arial" w:cs="Arial"/>
        </w:rPr>
        <w:t xml:space="preserve"> não previu expressamente prazo para a suspensão, caberia suprir a lacuna, por meio de analogia, utilizando-se o prazo de um ano previsto no </w:t>
      </w:r>
      <w:r w:rsidRPr="00BC4DBB">
        <w:rPr>
          <w:rStyle w:val="Forte"/>
          <w:rFonts w:ascii="Arial" w:hAnsi="Arial" w:cs="Arial"/>
        </w:rPr>
        <w:t xml:space="preserve">artigo </w:t>
      </w:r>
      <w:hyperlink r:id="rId11" w:tooltip="Artigo 265 da Lei nº 5.869 de 11 de Janeiro de 1973" w:history="1">
        <w:r w:rsidRPr="00BC4DBB">
          <w:rPr>
            <w:rStyle w:val="Hyperlink"/>
            <w:rFonts w:ascii="Arial" w:hAnsi="Arial" w:cs="Arial"/>
            <w:b/>
            <w:bCs/>
          </w:rPr>
          <w:t>265</w:t>
        </w:r>
      </w:hyperlink>
      <w:r w:rsidRPr="00BC4DBB">
        <w:rPr>
          <w:rFonts w:ascii="Arial" w:hAnsi="Arial" w:cs="Arial"/>
        </w:rPr>
        <w:t xml:space="preserve">, </w:t>
      </w:r>
      <w:hyperlink r:id="rId12" w:tooltip="Parágrafo 5 Artigo 265 da Lei nº 5.869 de 11 de Janeiro de 1973" w:history="1">
        <w:r w:rsidRPr="00BC4DBB">
          <w:rPr>
            <w:rStyle w:val="Hyperlink"/>
            <w:rFonts w:ascii="Arial" w:hAnsi="Arial" w:cs="Arial"/>
          </w:rPr>
          <w:t>parágrafo 5º</w:t>
        </w:r>
      </w:hyperlink>
      <w:r w:rsidRPr="00BC4DBB">
        <w:rPr>
          <w:rFonts w:ascii="Arial" w:hAnsi="Arial" w:cs="Arial"/>
        </w:rPr>
        <w:t xml:space="preserve">, do </w:t>
      </w:r>
      <w:hyperlink r:id="rId13" w:tooltip="Lei no 5.869, de 11 de janeiro de 1973." w:history="1">
        <w:r w:rsidRPr="00BC4DBB">
          <w:rPr>
            <w:rStyle w:val="Hyperlink"/>
            <w:rFonts w:ascii="Arial" w:hAnsi="Arial" w:cs="Arial"/>
          </w:rPr>
          <w:t>CPC</w:t>
        </w:r>
      </w:hyperlink>
      <w:r w:rsidRPr="00BC4DBB">
        <w:rPr>
          <w:rFonts w:ascii="Arial" w:hAnsi="Arial" w:cs="Arial"/>
        </w:rPr>
        <w:t xml:space="preserve"> e no </w:t>
      </w:r>
      <w:r w:rsidRPr="00BC4DBB">
        <w:rPr>
          <w:rStyle w:val="Forte"/>
          <w:rFonts w:ascii="Arial" w:hAnsi="Arial" w:cs="Arial"/>
        </w:rPr>
        <w:t xml:space="preserve">artigo </w:t>
      </w:r>
      <w:hyperlink r:id="rId14" w:tooltip="Artigo 40 da Lei nº 6.830 de 22 de Setembro de 1980" w:history="1">
        <w:r w:rsidRPr="00BC4DBB">
          <w:rPr>
            <w:rStyle w:val="Hyperlink"/>
            <w:rFonts w:ascii="Arial" w:hAnsi="Arial" w:cs="Arial"/>
            <w:b/>
            <w:bCs/>
          </w:rPr>
          <w:t>40</w:t>
        </w:r>
      </w:hyperlink>
      <w:r w:rsidRPr="00BC4DBB">
        <w:rPr>
          <w:rFonts w:ascii="Arial" w:hAnsi="Arial" w:cs="Arial"/>
        </w:rPr>
        <w:t xml:space="preserve">, </w:t>
      </w:r>
      <w:hyperlink r:id="rId15" w:tooltip="Parágrafo 2 Artigo 40 da Lei nº 6.830 de 22 de Setembro de 1980" w:history="1">
        <w:r w:rsidRPr="00BC4DBB">
          <w:rPr>
            <w:rStyle w:val="Hyperlink"/>
            <w:rFonts w:ascii="Arial" w:hAnsi="Arial" w:cs="Arial"/>
          </w:rPr>
          <w:t>parágrafo 2º</w:t>
        </w:r>
      </w:hyperlink>
      <w:r w:rsidRPr="00BC4DBB">
        <w:rPr>
          <w:rFonts w:ascii="Arial" w:hAnsi="Arial" w:cs="Arial"/>
        </w:rPr>
        <w:t xml:space="preserve">, da Lei </w:t>
      </w:r>
      <w:hyperlink r:id="rId16" w:tooltip="Lei no 6.830, de 22 de setembro de 1980." w:history="1">
        <w:r w:rsidRPr="00BC4DBB">
          <w:rPr>
            <w:rStyle w:val="Hyperlink"/>
            <w:rFonts w:ascii="Arial" w:hAnsi="Arial" w:cs="Arial"/>
          </w:rPr>
          <w:t>6.830</w:t>
        </w:r>
      </w:hyperlink>
      <w:r w:rsidRPr="00BC4DBB">
        <w:rPr>
          <w:rFonts w:ascii="Arial" w:hAnsi="Arial" w:cs="Arial"/>
        </w:rPr>
        <w:t>/80.</w:t>
      </w:r>
    </w:p>
    <w:p w:rsidR="009B0FE5" w:rsidRPr="00BC4DBB" w:rsidRDefault="009B0FE5" w:rsidP="00BC4DBB">
      <w:pPr>
        <w:pStyle w:val="NormalWeb"/>
        <w:jc w:val="both"/>
        <w:rPr>
          <w:rFonts w:ascii="Arial" w:hAnsi="Arial" w:cs="Arial"/>
        </w:rPr>
      </w:pPr>
      <w:r w:rsidRPr="00BC4DBB">
        <w:rPr>
          <w:rFonts w:ascii="Arial" w:hAnsi="Arial" w:cs="Arial"/>
        </w:rPr>
        <w:t xml:space="preserve">No caso, o banco Bradesco ajuizou execução de título executivo extrajudicial contra dois devedores. A execução foi suspensa em 1999 a pedido do banco por inexistência de bens penhoráveis, assim permanecendo por 13 anos. Em 2012, os devedores pediram o desarquivamento do processo e o reconhecimento da prescrição. Negado em primeiro grau, o pedido foi concedido em segunda instância sobre o fundamento de que a suspensão do </w:t>
      </w:r>
      <w:r w:rsidRPr="00BC4DBB">
        <w:rPr>
          <w:rFonts w:ascii="Arial" w:hAnsi="Arial" w:cs="Arial"/>
        </w:rPr>
        <w:lastRenderedPageBreak/>
        <w:t>processo não poderia durar para sempre. A Terceira Turma manteve essa decisão.</w:t>
      </w:r>
    </w:p>
    <w:p w:rsidR="009B0FE5" w:rsidRDefault="009B0FE5" w:rsidP="00215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5DBD" w:rsidRPr="00215DBD" w:rsidRDefault="006D4533" w:rsidP="00215D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hyperlink r:id="rId17" w:history="1">
        <w:r w:rsidR="00215DBD" w:rsidRPr="00215DB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t-BR"/>
          </w:rPr>
          <w:t xml:space="preserve">TJ-MS - </w:t>
        </w:r>
        <w:proofErr w:type="spellStart"/>
        <w:r w:rsidR="00215DBD" w:rsidRPr="00215DB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t-BR"/>
          </w:rPr>
          <w:t>Apelacao</w:t>
        </w:r>
        <w:proofErr w:type="spellEnd"/>
        <w:r w:rsidR="00215DBD" w:rsidRPr="00215DB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t-BR"/>
          </w:rPr>
          <w:t xml:space="preserve"> </w:t>
        </w:r>
        <w:proofErr w:type="spellStart"/>
        <w:proofErr w:type="gramStart"/>
        <w:r w:rsidR="00215DBD" w:rsidRPr="00215DB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t-BR"/>
          </w:rPr>
          <w:t>Civel</w:t>
        </w:r>
        <w:proofErr w:type="spellEnd"/>
        <w:r w:rsidR="00215DBD" w:rsidRPr="00215DB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t-BR"/>
          </w:rPr>
          <w:t xml:space="preserve"> :</w:t>
        </w:r>
        <w:proofErr w:type="gramEnd"/>
        <w:r w:rsidR="00215DBD" w:rsidRPr="00215DBD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pt-BR"/>
          </w:rPr>
          <w:t xml:space="preserve"> AC 26615 MS 2008.026615-2</w:t>
        </w:r>
      </w:hyperlink>
      <w:r w:rsidR="00215DBD" w:rsidRPr="00215D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1033"/>
        <w:gridCol w:w="66"/>
        <w:gridCol w:w="66"/>
      </w:tblGrid>
      <w:tr w:rsidR="00215DBD" w:rsidRPr="00215DBD" w:rsidTr="00215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5DBD" w:rsidRPr="00215DBD" w:rsidRDefault="00215DBD" w:rsidP="00BC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Processo: </w:t>
            </w:r>
          </w:p>
        </w:tc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5DBD" w:rsidRPr="00215DBD" w:rsidRDefault="00215DBD" w:rsidP="00215D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"/>
        <w:gridCol w:w="1234"/>
        <w:gridCol w:w="1154"/>
        <w:gridCol w:w="1503"/>
        <w:gridCol w:w="1388"/>
        <w:gridCol w:w="754"/>
        <w:gridCol w:w="2398"/>
        <w:gridCol w:w="66"/>
      </w:tblGrid>
      <w:tr w:rsidR="00215DBD" w:rsidRPr="00215DBD" w:rsidTr="00215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5D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Julgamento: </w:t>
            </w:r>
          </w:p>
        </w:tc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5D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27/08/2009 </w:t>
            </w:r>
          </w:p>
        </w:tc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5D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Órgao</w:t>
            </w:r>
            <w:proofErr w:type="spellEnd"/>
            <w:r w:rsidRPr="00215D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Julgador: </w:t>
            </w:r>
          </w:p>
        </w:tc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5D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3ª Turma Cível </w:t>
            </w:r>
          </w:p>
        </w:tc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5D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Classe: </w:t>
            </w:r>
          </w:p>
        </w:tc>
        <w:tc>
          <w:tcPr>
            <w:tcW w:w="0" w:type="auto"/>
            <w:vAlign w:val="center"/>
            <w:hideMark/>
          </w:tcPr>
          <w:p w:rsidR="00215DBD" w:rsidRPr="00215DBD" w:rsidRDefault="00215DBD" w:rsidP="0021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15DB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Apelação Cível - Execução </w:t>
            </w:r>
          </w:p>
        </w:tc>
        <w:tc>
          <w:tcPr>
            <w:tcW w:w="0" w:type="auto"/>
            <w:hideMark/>
          </w:tcPr>
          <w:p w:rsidR="00215DBD" w:rsidRPr="00215DBD" w:rsidRDefault="00215DBD" w:rsidP="0021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5DBD" w:rsidRPr="00215DBD" w:rsidRDefault="00215DBD" w:rsidP="00215D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215DBD" w:rsidRPr="00215DBD" w:rsidTr="00215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504"/>
            </w:tblGrid>
            <w:tr w:rsidR="00215DBD" w:rsidRPr="00215DB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27.8.2009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Terceira Turma Cível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Apelação Cível - Execução - N. -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Maracaju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Relator                    -   Exmo. Sr. Des. Oswaldo Rodrigues de Melo.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Apelante                 -   Flávio Albuquerque Garcia.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Advogado               -   Jorge Luiz Martins Pereira.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Apelado                  -   Estado de Mato Grosso do Sul.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Proc. Est.                -   Cristiane da Costa Carvalho.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E M E N T A          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   APELAÇÃO CÍVEL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EMBARGOS À EXECUÇÃO FISCAL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PRELIMINAR DE DECADÊNCIA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AUTO DE INFRAÇÃO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LANÇAMENTO DE OFÍCIO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PRAZO DECADENCIAL CONTADO DO PRIMEIRO DIA DO EXERCÍCIO SEGUINTE ÀQUELE EM QUE O LANÇAMENTO PODERIA TER SIDO EFETUADO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PROCESSO E RECURSO ADMINISTRATIVO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SUSPENSÃO DO LAPSO TEMPORAL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PREJUDICIAL AFASTADA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NULIDADE DA EXECUÇÃO POR NULIDADE DA CDA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EXCESSO DE EXECUÇÃO RECONHECIDO, MAS COM O PROSSEGUIMENTO DO CRÉDITO REMANESCENTE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JUROS, CORREÇÃO MONETÁRIA POR INDEXADOR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EXCESSO DE EXECUÇÃO NÃO CARACTERIZADO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AUSÊNCIA DE FATO GERADOR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MOVIMENTAÇÃO INTERNA DE GADO BOVINO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ART. </w:t>
                  </w:r>
                  <w:hyperlink r:id="rId18" w:tooltip="Artigo 333 da Lei nº 5.869 de 11 de Janeiro de 1973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333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DO </w:t>
                  </w:r>
                  <w:hyperlink r:id="rId19" w:tooltip="Lei no 5.869, de 11 de janeiro de 1973.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CPC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ÔNUS DA PROVA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TRANSMISSÃO DE GADO POR HERANÇA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RESPONSABILIDADE DO SUCESSOR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PREQUESTIONAMENTO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MATÉRIA SUFICIENTEMENTE DEBATIDA QUANDO DO JULGAMENTO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NÃO NECESSIDADE DE MANIFESTAÇÃO EXPRESSA SOBRE OS DISPOSITIVOS LEGAIS E CONSTITUCIONAIS </w:t>
                  </w:r>
                  <w:r w:rsidRPr="00BC4DBB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pt-BR"/>
                    </w:rPr>
                    <w:t>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RECURSO PARCIALMENTE PROVIDO.</w:t>
                  </w:r>
                  <w:proofErr w:type="gram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1. O lançamento tributário é o fator determinante para estabelecer se houve 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lastRenderedPageBreak/>
                    <w:t xml:space="preserve">decadência ou prescrição, pois até que este ocorra incide prazo decadência, enquanto que após a </w:t>
                  </w:r>
                  <w:hyperlink r:id="rId20" w:tooltip="Constituição da República Federativa do Brasil de 1988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constituição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definitiva do crédito tributário poderá se falar apenas em prescrição.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Em se tratando de auto de infração, independentemente da natureza do inadimplemento, tem-se que o lançamento se dá de ofício e, assim, o prazo decadencial de cinco anos será contado do primeiro dia do exercício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seguinet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àquele em que o lançamento poderia ter sido efetuado. Se do exame dos autos constata-se que fora observado esse lapso temporal não há que se falar em decadência, notadamente se houve a propositura de processo administrativo, causa de suspensão do prazo decadencial. </w:t>
                  </w:r>
                </w:p>
                <w:p w:rsidR="00BC4DBB" w:rsidRPr="00BC4DBB" w:rsidRDefault="00BC4DBB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(...)</w:t>
                  </w:r>
                </w:p>
                <w:p w:rsidR="00215DBD" w:rsidRPr="00BC4DBB" w:rsidRDefault="00BC4DBB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t-BR"/>
                    </w:rPr>
                    <w:t>RELATÓRIO: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Trata-se de recurso de apelação cível interposto por </w:t>
                  </w:r>
                  <w:r w:rsidRPr="00BC4D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BR"/>
                    </w:rPr>
                    <w:t xml:space="preserve">Flavio Albuquerque Garcia 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contra a sentença que julgou improcedentes os pedidos contidos nos Embargos a Execução que opôs em face do </w:t>
                  </w:r>
                  <w:r w:rsidRPr="00BC4D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BR"/>
                    </w:rPr>
                    <w:t xml:space="preserve">Estado de Mato Grosso do Sul.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Preliminarmente,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argúe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a ocorrência de decadência pelo fato de ter o tributo relativo aos anos de 1998 e </w:t>
                  </w:r>
                  <w:proofErr w:type="gram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2000 ultrapassado cinco</w:t>
                  </w:r>
                  <w:proofErr w:type="gram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anos legais da data do fato gerador até a efetiva inscrição, o que ocorreu apenas em maio de 2006.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BR"/>
                    </w:rPr>
                    <w:t xml:space="preserve">Da decadência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Inicialmente, faz-se mister esclarecer que a recorrida ajuizou ação de execução fiscal objetivando o recebimento de cinco créditos tributários referentes à ICMS e multas por infração administrativa, aplicadas em razão do poder de polícia, referentes aos anos de 1998, 2000 e 2002.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É cediço que os institutos jurídicos da prescrição e decadência visam garantir a estabilidade das relações jurídicas e, por conseguinte, a paz social, em face do </w:t>
                  </w:r>
                  <w:proofErr w:type="spellStart"/>
                  <w:proofErr w:type="gram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não-exercício</w:t>
                  </w:r>
                  <w:proofErr w:type="spellEnd"/>
                  <w:proofErr w:type="gram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de um direito depois de determinado lapso de tempo previsto em lei.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O lançamento tributário, nos termos do artigo </w:t>
                  </w:r>
                  <w:hyperlink r:id="rId21" w:tooltip="Artigo 142 da Lei nº 5.172 de 25 de Outubro de 1966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142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do </w:t>
                  </w:r>
                  <w:hyperlink r:id="rId22" w:tooltip="Lei nº 5.172, de 25 de outubro de 1966.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CTN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é o fator determinante para estabelecer se houve decadência ou prescrição. Isso porque, o prazo decadencial incide até que o crédito se aperfeiçoe. Após a </w:t>
                  </w:r>
                  <w:hyperlink r:id="rId23" w:tooltip="Constituição da República Federativa do Brasil de 1988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constituição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definitiva do crédito tributário poderá haver apenas a prescrição.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A decadência difere da prescrição, pois a concretização da prescrição se consubstancia na perda do direito de ação sobre o crédito tributário, enquanto que a decadência impõe a perda do próprio direito de constituir o crédito tributário, ou seja, a primeira versa sobre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exeqüibilidade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do crédito e a segunda sobre a exigibilidade deste crédito.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A regra geral de decadência do direito de a Fazenda Pública constituir o crédito tributário, prevista no </w:t>
                  </w:r>
                  <w:hyperlink r:id="rId24" w:tooltip="Lei nº 5.172, de 25 de outubro de 1966.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Código Tributário Nacional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está expressa no 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lastRenderedPageBreak/>
                    <w:t xml:space="preserve">artigo </w:t>
                  </w:r>
                  <w:hyperlink r:id="rId25" w:tooltip="Artigo 173 da Lei nº 5.172 de 25 de Outubro de 1966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173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26" w:tooltip="Inciso I do Artigo 173 da Lei nº 5.172 de 25 de Outubro de 1966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I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</w:t>
                  </w: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in </w:t>
                  </w:r>
                  <w:proofErr w:type="spellStart"/>
                  <w:proofErr w:type="gramStart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verbis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:</w:t>
                  </w:r>
                  <w:proofErr w:type="gram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BC4DBB">
                    <w:rPr>
                      <w:rFonts w:ascii="Times New Roman" w:eastAsia="Times New Roman" w:hAnsi="Times New Roman" w:cs="Arial"/>
                      <w:i/>
                      <w:iCs/>
                      <w:sz w:val="24"/>
                      <w:szCs w:val="24"/>
                      <w:lang w:eastAsia="pt-BR"/>
                    </w:rPr>
                    <w:t></w:t>
                  </w: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Art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. 173. O direito </w:t>
                  </w:r>
                  <w:proofErr w:type="gramStart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da Fazenda Pública constituir</w:t>
                  </w:r>
                  <w:proofErr w:type="gram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o crédito tributário extingue-se após 5 (cinco) anos, contados: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I - do primeiro dia do exercício seguinte àquele em que o lançamento poderia ter sido </w:t>
                  </w:r>
                  <w:proofErr w:type="gramStart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efetuado;</w:t>
                  </w:r>
                  <w:proofErr w:type="gramEnd"/>
                  <w:r w:rsidRPr="00BC4DBB">
                    <w:rPr>
                      <w:rFonts w:ascii="Times New Roman" w:eastAsia="Times New Roman" w:hAnsi="Times New Roman" w:cs="Arial"/>
                      <w:i/>
                      <w:iCs/>
                      <w:sz w:val="24"/>
                      <w:szCs w:val="24"/>
                      <w:lang w:eastAsia="pt-BR"/>
                    </w:rPr>
                    <w:t></w:t>
                  </w: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A Fazenda Pública constitui o seu crédito tributário mediante o procedimento administrativo do lançamento e para que este direito não pereça deverá fazê-lo no prazo de cinco anos.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No lançamento direto ou por ofício o fisco, dispondo de dados suficientes para efetuar a cobrança, realiza-o, dispensando o auxílio do contribuinte.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Em se tratando de lançamento misto ou por declaração, o direito decai em cinco anos contados do primeiro dia do exercício seguinte àquele em que o lançamento deveria ter sido efetuado ou data em que se tornar definitiva a decisão que houver anulado, por vício formal, o lançamento anteriormente efetuado, conforme dispõe os artigos </w:t>
                  </w:r>
                  <w:hyperlink r:id="rId27" w:tooltip="Artigo 173 da Lei nº 5.172 de 25 de Outubro de 1966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173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28" w:tooltip="Inciso I do Artigo 173 da Lei nº 5.172 de 25 de Outubro de 1966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I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e </w:t>
                  </w:r>
                  <w:hyperlink r:id="rId29" w:tooltip="Inciso II do Artigo 173 da Lei nº 5.172 de 25 de Outubro de 1966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II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do </w:t>
                  </w:r>
                  <w:hyperlink r:id="rId30" w:tooltip="Lei nº 5.172, de 25 de outubro de 1966.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CTN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Já na hipótese de lançamento por homologação ou autolançamento, o prazo decadencial de cinco anos inicia-se com a ocorrência do fato gerador (art. </w:t>
                  </w:r>
                  <w:hyperlink r:id="rId31" w:tooltip="Artigo 150 da Lei nº 5.172 de 25 de Outubro de 1966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150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32" w:tooltip="Parágrafo 4 Artigo 150 da Lei nº 5.172 de 25 de Outubro de 1966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§ 4º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do </w:t>
                  </w:r>
                  <w:hyperlink r:id="rId33" w:tooltip="Lei nº 5.172, de 25 de outubro de 1966." w:history="1">
                    <w:r w:rsidRPr="00BC4DBB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CTN</w:t>
                    </w:r>
                  </w:hyperlink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).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In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casu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muito embora se trate de ICMS, verifica-se que as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CDAs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exequendas referem-se aos autos de infração nº 47667-A e 47664-A. Vale dizer, </w:t>
                  </w:r>
                  <w:proofErr w:type="spellStart"/>
                  <w:r w:rsidRPr="00BC4DBB">
                    <w:rPr>
                      <w:rFonts w:ascii="Times New Roman" w:eastAsia="Times New Roman" w:hAnsi="Times New Roman" w:cs="Arial"/>
                      <w:i/>
                      <w:iCs/>
                      <w:sz w:val="24"/>
                      <w:szCs w:val="24"/>
                      <w:lang w:eastAsia="pt-BR"/>
                    </w:rPr>
                    <w:t></w:t>
                  </w: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havendo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uma autuação de ICMS como resultado de fiscalização, este, que é clássica e genuinamente lançado por homologação passa a ser caso de lançamento de ofício</w:t>
                  </w:r>
                  <w:r w:rsidRPr="00BC4DBB">
                    <w:rPr>
                      <w:rFonts w:ascii="Times New Roman" w:eastAsia="Times New Roman" w:hAnsi="Times New Roman" w:cs="Arial"/>
                      <w:i/>
                      <w:iCs/>
                      <w:sz w:val="24"/>
                      <w:szCs w:val="24"/>
                      <w:lang w:eastAsia="pt-BR"/>
                    </w:rPr>
                    <w:t></w:t>
                  </w: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BC4DB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[2</w:t>
                  </w:r>
                  <w:proofErr w:type="gramStart"/>
                  <w:r w:rsidRPr="00BC4DB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 xml:space="preserve">] </w:t>
                  </w: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.</w:t>
                  </w:r>
                  <w:proofErr w:type="gram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O auto de infração caracteriza-e como a descrição, feita pelo agente da autoridade administrativa tributária, de uma situação de fato que configura desobediência à legislação tributária. A rigor, portanto, a lavratura de um auto de infração apenas significa a constatação, e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conseqüente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imputação ao contribuinte, de uma conduta infringente da legislação. Dela pode resultar o </w:t>
                  </w:r>
                  <w:proofErr w:type="spellStart"/>
                  <w:proofErr w:type="gram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não-pagamento</w:t>
                  </w:r>
                  <w:proofErr w:type="spellEnd"/>
                  <w:proofErr w:type="gram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de um tributo, ou, apenas o inadimplemento de uma obrigação acessória. No primeiro caso é possível que no auto de infração se formule a exigência de tributo e de penalidade pecuniária. No segundo, apenas a penalidade pecuniária é exigida. O auto de infração é um ato administrativo com o qual tem início o procedimento de lançamento tributário, mas não é o único, pois, como visto, o lançamento pode ter início de outras formas.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Assim, em se tratando de auto de infração, independentemente de se referir sobre inadimplemento de ICMS, ou mesmo de obrigação acessória, tem-se que o lançamento, nesses casos, se dá de ofício. Ou seja, o próprio Fisco, dispondo de dados suficientes para efetuar a cobrança, realiza-o dispensando auxilio do contribuinte.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lastRenderedPageBreak/>
                    <w:t xml:space="preserve">Dessa feita, o prazo decadencial de cinco anos será contado do primeiro dia do exercício seguinte àquele em que o lançamento poderia ter sido efetuado.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No caso dos autos, constata-se que a alegação de decadência recai sobre os créditos tributários executados referem-se aos exercícios de 1998, cujos lançamentos foram tempestivamente efetuados no ano de 2003. Isso porque, ocorrendo o fato gerador em 1998, e iniciando-se o prazo de cinco anos após o primeiro dia do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exercicício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seguinte (01/01/1999) o primeiro ano do prazo decadencial ocorreu em 01 de janeiro de 2000, findando-se em 12 de dezembro de 2003. Assim, sendo efetivado o lançamento do crédito tributário de oficio em setembro de 2003 não há que se falar em decadência.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Mas, ainda que assim não </w:t>
                  </w:r>
                  <w:proofErr w:type="gram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fosse,</w:t>
                  </w:r>
                  <w:proofErr w:type="gram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também entendo que o crédito exequendo não se encontra acobertado pela decadência, haja vista ter ocorrido a suspensão do referido lapso temporal, pela via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não-judicial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da litigiosidade, mediante a propositura de recurso administrativo pelo ora recorrente.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Como bem elucida o tributarista Eduardo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Sabbag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BC4DBB">
                    <w:rPr>
                      <w:rFonts w:ascii="Times New Roman" w:eastAsia="Times New Roman" w:hAnsi="Times New Roman" w:cs="Arial"/>
                      <w:i/>
                      <w:iCs/>
                      <w:sz w:val="24"/>
                      <w:szCs w:val="24"/>
                      <w:lang w:eastAsia="pt-BR"/>
                    </w:rPr>
                    <w:t></w:t>
                  </w: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Não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é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damasiado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enfatizar que, enquanto perdurar a discussão administrativa, quer em grau de impugnação, quer em grau de recurso, o crédito tributário manter-se-á suspenso, permitindo ao contribuinte a obtenção de certidão positiva com efeitos de negativa, consoante o art. </w:t>
                  </w:r>
                  <w:hyperlink r:id="rId34" w:tooltip="Artigo 206 da Lei nº 5.172 de 25 de Outubro de 1966" w:history="1">
                    <w:r w:rsidRPr="00BC4DBB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206</w:t>
                    </w:r>
                  </w:hyperlink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do </w:t>
                  </w:r>
                  <w:hyperlink r:id="rId35" w:tooltip="Lei nº 5.172, de 25 de outubro de 1966." w:history="1">
                    <w:r w:rsidRPr="00BC4DBB">
                      <w:rPr>
                        <w:rFonts w:ascii="Arial" w:eastAsia="Times New Roman" w:hAnsi="Arial" w:cs="Arial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CTN</w:t>
                    </w:r>
                  </w:hyperlink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. De igual modo, a situação obstará a cobrança judicial do tributo, por meio da ação de execução fiscal.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(...)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Com efeito, não se pode inscrever em dívida ativa, trazendo exequibilidade ao tributo ora cobrado, se lhe falta a precedente exigibilidade, própria do crédito tributário constituído pelo lançamento. Se a exigibilidade encontra-se suspensa, não há que se falar em cobrança judicial, nem mesmo em termo a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quo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para a contagem do prazo prescricional. </w:t>
                  </w:r>
                </w:p>
                <w:p w:rsidR="00215DBD" w:rsidRPr="00BC4DBB" w:rsidRDefault="00215DBD" w:rsidP="00BC4D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Ad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argumentandum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, admitir como válida a inscrição de um crédito tributário, com sua exigibilidade ainda suspensa, bem como a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decorrencial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execução fiscal, é prestigiar o absurdo, razão por que à luz do </w:t>
                  </w:r>
                  <w:proofErr w:type="spellStart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proceso</w:t>
                  </w:r>
                  <w:proofErr w:type="spell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judicial tributário, poder-se-ia pensar na arguição de nulidade do título executivo em sede de objeção de (pré/não)-executividade, buscando evitar a constrição judicial de bens</w:t>
                  </w:r>
                  <w:r w:rsidRPr="00BC4DBB">
                    <w:rPr>
                      <w:rFonts w:ascii="Times New Roman" w:eastAsia="Times New Roman" w:hAnsi="Times New Roman" w:cs="Arial"/>
                      <w:i/>
                      <w:iCs/>
                      <w:sz w:val="24"/>
                      <w:szCs w:val="24"/>
                      <w:lang w:eastAsia="pt-BR"/>
                    </w:rPr>
                    <w:t></w:t>
                  </w: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BC4DB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>[3</w:t>
                  </w:r>
                  <w:proofErr w:type="gramStart"/>
                  <w:r w:rsidRPr="00BC4DB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pt-BR"/>
                    </w:rPr>
                    <w:t xml:space="preserve">] </w:t>
                  </w:r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>.</w:t>
                  </w:r>
                  <w:proofErr w:type="gramEnd"/>
                  <w:r w:rsidRPr="00BC4DBB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215DBD" w:rsidRPr="00BC4DBB" w:rsidRDefault="00215DBD" w:rsidP="004875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C4D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Dessa forma, não há que se falar em decadência dos créditos tributários exequendos.</w:t>
                  </w:r>
                </w:p>
              </w:tc>
            </w:tr>
          </w:tbl>
          <w:p w:rsidR="00215DBD" w:rsidRPr="00215DBD" w:rsidRDefault="00215DBD" w:rsidP="0021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15DBD" w:rsidRPr="00215DBD" w:rsidRDefault="00215DBD" w:rsidP="0048751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215DBD">
        <w:rPr>
          <w:rFonts w:ascii="Arial" w:eastAsia="Times New Roman" w:hAnsi="Arial" w:cs="Arial"/>
          <w:vanish/>
          <w:sz w:val="16"/>
          <w:szCs w:val="16"/>
          <w:lang w:eastAsia="pt-BR"/>
        </w:rPr>
        <w:lastRenderedPageBreak/>
        <w:t>Parte superior do formulário</w:t>
      </w:r>
    </w:p>
    <w:p w:rsidR="00215DBD" w:rsidRPr="00215DBD" w:rsidRDefault="00215DBD" w:rsidP="00215D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215DBD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5277C0" w:rsidRDefault="005277C0" w:rsidP="00215DBD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1B" w:rsidRDefault="0048751B" w:rsidP="0048751B">
      <w:pPr>
        <w:spacing w:after="0" w:line="240" w:lineRule="auto"/>
      </w:pPr>
      <w:r>
        <w:separator/>
      </w:r>
    </w:p>
  </w:endnote>
  <w:endnote w:type="continuationSeparator" w:id="0">
    <w:p w:rsidR="0048751B" w:rsidRDefault="0048751B" w:rsidP="0048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1B" w:rsidRDefault="0048751B" w:rsidP="0048751B">
      <w:pPr>
        <w:spacing w:after="0" w:line="240" w:lineRule="auto"/>
      </w:pPr>
      <w:r>
        <w:separator/>
      </w:r>
    </w:p>
  </w:footnote>
  <w:footnote w:type="continuationSeparator" w:id="0">
    <w:p w:rsidR="0048751B" w:rsidRDefault="0048751B" w:rsidP="0048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B80"/>
    <w:multiLevelType w:val="multilevel"/>
    <w:tmpl w:val="7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508FB"/>
    <w:multiLevelType w:val="multilevel"/>
    <w:tmpl w:val="723C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544DA"/>
    <w:multiLevelType w:val="multilevel"/>
    <w:tmpl w:val="57C6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772F6"/>
    <w:multiLevelType w:val="multilevel"/>
    <w:tmpl w:val="502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DBD"/>
    <w:rsid w:val="000B3BFB"/>
    <w:rsid w:val="00215DBD"/>
    <w:rsid w:val="0048751B"/>
    <w:rsid w:val="005277C0"/>
    <w:rsid w:val="006D4533"/>
    <w:rsid w:val="009B0FE5"/>
    <w:rsid w:val="00BC4DBB"/>
    <w:rsid w:val="00D4327F"/>
    <w:rsid w:val="00E9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21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15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5D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15D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add-topic-text">
    <w:name w:val="add-topic-text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5DB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15DB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5DBD"/>
    <w:rPr>
      <w:color w:val="800080"/>
      <w:u w:val="single"/>
    </w:rPr>
  </w:style>
  <w:style w:type="character" w:customStyle="1" w:styleId="report-component">
    <w:name w:val="report-component"/>
    <w:basedOn w:val="Fontepargpadro"/>
    <w:rsid w:val="00215DBD"/>
  </w:style>
  <w:style w:type="paragraph" w:customStyle="1" w:styleId="info">
    <w:name w:val="info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215DBD"/>
  </w:style>
  <w:style w:type="character" w:customStyle="1" w:styleId="vote">
    <w:name w:val="vote"/>
    <w:basedOn w:val="Fontepargpadro"/>
    <w:rsid w:val="00215DBD"/>
  </w:style>
  <w:style w:type="character" w:customStyle="1" w:styleId="count">
    <w:name w:val="count"/>
    <w:basedOn w:val="Fontepargpadro"/>
    <w:rsid w:val="00215DBD"/>
  </w:style>
  <w:style w:type="character" w:customStyle="1" w:styleId="aba">
    <w:name w:val="aba"/>
    <w:basedOn w:val="Fontepargpadro"/>
    <w:rsid w:val="00215DBD"/>
  </w:style>
  <w:style w:type="paragraph" w:styleId="Cabealho">
    <w:name w:val="header"/>
    <w:basedOn w:val="Normal"/>
    <w:link w:val="CabealhoChar"/>
    <w:uiPriority w:val="99"/>
    <w:semiHidden/>
    <w:unhideWhenUsed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15D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cao">
    <w:name w:val="publicacao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">
    <w:name w:val="te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cordao">
    <w:name w:val="acordao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cordao">
    <w:name w:val="normalacordao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5linhas">
    <w:name w:val="5linhas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oto">
    <w:name w:val="voto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2linha">
    <w:name w:val="2linha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15DBD"/>
  </w:style>
  <w:style w:type="paragraph" w:customStyle="1" w:styleId="estilo1">
    <w:name w:val="estilo1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racteresdenotaderodap">
    <w:name w:val="caracteresdenotaderodap"/>
    <w:basedOn w:val="Fontepargpadro"/>
    <w:rsid w:val="00215DB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15D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15D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5D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">
    <w:name w:val="title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unt-comments">
    <w:name w:val="count-comments"/>
    <w:basedOn w:val="Fontepargpadro"/>
    <w:rsid w:val="00215DBD"/>
  </w:style>
  <w:style w:type="paragraph" w:customStyle="1" w:styleId="call">
    <w:name w:val="call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-desc-light">
    <w:name w:val="ad-desc-light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qc-action-title">
    <w:name w:val="sqc-action-title"/>
    <w:basedOn w:val="Fontepargpadro"/>
    <w:rsid w:val="00215DBD"/>
  </w:style>
  <w:style w:type="character" w:customStyle="1" w:styleId="icon">
    <w:name w:val="icon"/>
    <w:basedOn w:val="Fontepargpadro"/>
    <w:rsid w:val="00215DBD"/>
  </w:style>
  <w:style w:type="paragraph" w:customStyle="1" w:styleId="chatlike-title">
    <w:name w:val="chatlike-title"/>
    <w:basedOn w:val="Normal"/>
    <w:rsid w:val="0021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r-icons">
    <w:name w:val="spr-icons"/>
    <w:basedOn w:val="Fontepargpadro"/>
    <w:rsid w:val="00215DBD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15D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15DBD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op-search-filter">
    <w:name w:val="top-search-filter"/>
    <w:basedOn w:val="Fontepargpadro"/>
    <w:rsid w:val="00215DBD"/>
  </w:style>
  <w:style w:type="character" w:customStyle="1" w:styleId="top-search-current">
    <w:name w:val="top-search-current"/>
    <w:basedOn w:val="Fontepargpadro"/>
    <w:rsid w:val="00215DB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15D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15DB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DBD"/>
    <w:rPr>
      <w:rFonts w:ascii="Tahoma" w:hAnsi="Tahoma" w:cs="Tahoma"/>
      <w:sz w:val="16"/>
      <w:szCs w:val="16"/>
    </w:rPr>
  </w:style>
  <w:style w:type="character" w:customStyle="1" w:styleId="more-authors">
    <w:name w:val="more-authors"/>
    <w:basedOn w:val="Fontepargpadro"/>
    <w:rsid w:val="009B0FE5"/>
  </w:style>
  <w:style w:type="character" w:customStyle="1" w:styleId="document--time-since">
    <w:name w:val="document--time-since"/>
    <w:basedOn w:val="Fontepargpadro"/>
    <w:rsid w:val="009B0FE5"/>
  </w:style>
  <w:style w:type="paragraph" w:styleId="NormalWeb">
    <w:name w:val="Normal (Web)"/>
    <w:basedOn w:val="Normal"/>
    <w:uiPriority w:val="99"/>
    <w:semiHidden/>
    <w:unhideWhenUsed/>
    <w:rsid w:val="009B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87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0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6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6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3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45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91735/c%C3%B3digo-processo-civil-lei-5869-73" TargetMode="External"/><Relationship Id="rId13" Type="http://schemas.openxmlformats.org/officeDocument/2006/relationships/hyperlink" Target="http://www.jusbrasil.com.br/legislacao/91735/c%C3%B3digo-processo-civil-lei-5869-73" TargetMode="External"/><Relationship Id="rId18" Type="http://schemas.openxmlformats.org/officeDocument/2006/relationships/hyperlink" Target="http://www.jusbrasil.com/topicos/10704289/artigo-333-da-lei-n-5869-de-11-de-janeiro-de-1973" TargetMode="External"/><Relationship Id="rId26" Type="http://schemas.openxmlformats.org/officeDocument/2006/relationships/hyperlink" Target="http://www.jusbrasil.com/topicos/10568398/inciso-i-do-artigo-173-da-lei-n-5172-de-25-de-outubro-de-19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sbrasil.com/topicos/10572628/artigo-142-da-lei-n-5172-de-25-de-outubro-de-1966" TargetMode="External"/><Relationship Id="rId34" Type="http://schemas.openxmlformats.org/officeDocument/2006/relationships/hyperlink" Target="http://www.jusbrasil.com/topicos/10565700/artigo-206-da-lei-n-5172-de-25-de-outubro-de-1966" TargetMode="External"/><Relationship Id="rId7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12" Type="http://schemas.openxmlformats.org/officeDocument/2006/relationships/hyperlink" Target="http://www.jusbrasil.com.br/topicos/10713480/par%C3%A1grafo-5-artigo-265-da-lei-n-5869-de-11-de-janeiro-de-1973" TargetMode="External"/><Relationship Id="rId17" Type="http://schemas.openxmlformats.org/officeDocument/2006/relationships/hyperlink" Target="http://www.jusbrasil.com.br/jurisprudencia/5358404/apelacao-civel-ac-26615-ms-2008026615-2" TargetMode="External"/><Relationship Id="rId25" Type="http://schemas.openxmlformats.org/officeDocument/2006/relationships/hyperlink" Target="http://www.jusbrasil.com/topicos/10568442/artigo-173-da-lei-n-5172-de-25-de-outubro-de-1966" TargetMode="External"/><Relationship Id="rId33" Type="http://schemas.openxmlformats.org/officeDocument/2006/relationships/hyperlink" Target="http://www.jusbrasil.com/legislacao/1028352/c%C3%B3digo-tribut%C3%A1rio-nacional-lei-5172-6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brasil.com.br/legislacao/109854/lei-de-execu%C3%A7%C3%A3o-fiscal-lei-6830-80" TargetMode="External"/><Relationship Id="rId20" Type="http://schemas.openxmlformats.org/officeDocument/2006/relationships/hyperlink" Target="http://www.jusbrasil.com/legislacao/1034025/constitui%C3%A7%C3%A3o-da-republica-federativa-do-brasil-1988" TargetMode="External"/><Relationship Id="rId29" Type="http://schemas.openxmlformats.org/officeDocument/2006/relationships/hyperlink" Target="http://www.jusbrasil.com/topicos/10568380/inciso-ii-do-artigo-173-da-lei-n-5172-de-25-de-outubro-de-19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sbrasil.com.br/topicos/10714036/artigo-265-da-lei-n-5869-de-11-de-janeiro-de-1973" TargetMode="External"/><Relationship Id="rId24" Type="http://schemas.openxmlformats.org/officeDocument/2006/relationships/hyperlink" Target="http://www.jusbrasil.com/legislacao/1028352/c%C3%B3digo-tribut%C3%A1rio-nacional-lei-5172-66" TargetMode="External"/><Relationship Id="rId32" Type="http://schemas.openxmlformats.org/officeDocument/2006/relationships/hyperlink" Target="http://www.jusbrasil.com/topicos/10571574/par%C3%A1grafo-4-artigo-150-da-lei-n-5172-de-25-de-outubro-de-1966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jusbrasil.com.br/topicos/11730690/par%C3%A1grafo-2-artigo-40-da-lei-n-6830-de-22-de-setembro-de-1980" TargetMode="External"/><Relationship Id="rId23" Type="http://schemas.openxmlformats.org/officeDocument/2006/relationships/hyperlink" Target="http://www.jusbrasil.com/legislacao/1034025/constitui%C3%A7%C3%A3o-da-republica-federativa-do-brasil-1988" TargetMode="External"/><Relationship Id="rId28" Type="http://schemas.openxmlformats.org/officeDocument/2006/relationships/hyperlink" Target="http://www.jusbrasil.com/topicos/10568398/inciso-i-do-artigo-173-da-lei-n-5172-de-25-de-outubro-de-196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jusbrasil.com.br/legislacao/91735/c%C3%B3digo-processo-civil-lei-5869-73" TargetMode="External"/><Relationship Id="rId19" Type="http://schemas.openxmlformats.org/officeDocument/2006/relationships/hyperlink" Target="http://www.jusbrasil.com/legislacao/91735/c%C3%B3digo-processo-civil-lei-5869-73" TargetMode="External"/><Relationship Id="rId31" Type="http://schemas.openxmlformats.org/officeDocument/2006/relationships/hyperlink" Target="http://www.jusbrasil.com/topicos/10571726/artigo-150-da-lei-n-5172-de-25-de-outubro-de-1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0633633/artigo-921-da-lei-n-5869-de-11-de-janeiro-de-1973" TargetMode="External"/><Relationship Id="rId14" Type="http://schemas.openxmlformats.org/officeDocument/2006/relationships/hyperlink" Target="http://www.jusbrasil.com.br/topicos/11730746/artigo-40-da-lei-n-6830-de-22-de-setembro-de-1980" TargetMode="External"/><Relationship Id="rId22" Type="http://schemas.openxmlformats.org/officeDocument/2006/relationships/hyperlink" Target="http://www.jusbrasil.com/legislacao/1028352/c%C3%B3digo-tribut%C3%A1rio-nacional-lei-5172-66" TargetMode="External"/><Relationship Id="rId27" Type="http://schemas.openxmlformats.org/officeDocument/2006/relationships/hyperlink" Target="http://www.jusbrasil.com/topicos/10568442/artigo-173-da-lei-n-5172-de-25-de-outubro-de-1966" TargetMode="External"/><Relationship Id="rId30" Type="http://schemas.openxmlformats.org/officeDocument/2006/relationships/hyperlink" Target="http://www.jusbrasil.com/legislacao/1028352/c%C3%B3digo-tribut%C3%A1rio-nacional-lei-5172-66" TargetMode="External"/><Relationship Id="rId35" Type="http://schemas.openxmlformats.org/officeDocument/2006/relationships/hyperlink" Target="http://www.jusbrasil.com/legislacao/1028352/c%C3%B3digo-tribut%C3%A1rio-nacional-lei-5172-6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2537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2016-03-02T17:45:00Z</dcterms:created>
  <dcterms:modified xsi:type="dcterms:W3CDTF">2016-03-02T17:45:00Z</dcterms:modified>
</cp:coreProperties>
</file>