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14" w:rsidRDefault="00C54614" w:rsidP="0053347A">
      <w:pPr>
        <w:jc w:val="both"/>
        <w:rPr>
          <w:rFonts w:ascii="Arial" w:hAnsi="Arial" w:cs="Arial"/>
          <w:sz w:val="24"/>
        </w:rPr>
      </w:pPr>
    </w:p>
    <w:p w:rsidR="00693B94" w:rsidRDefault="00693B94" w:rsidP="005334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A67103" w:rsidRDefault="00A67103" w:rsidP="0053347A">
      <w:pPr>
        <w:jc w:val="both"/>
        <w:rPr>
          <w:rFonts w:ascii="Arial" w:hAnsi="Arial" w:cs="Arial"/>
          <w:sz w:val="24"/>
        </w:rPr>
      </w:pPr>
      <w:r w:rsidRPr="00A67103">
        <w:rPr>
          <w:rFonts w:ascii="Arial" w:hAnsi="Arial" w:cs="Arial"/>
          <w:sz w:val="24"/>
        </w:rPr>
        <w:t>Art. 978 CC - O empresário casado pode, sem necessidade de outorga conjugal, qualquer que seja o regime de bens, alienar os imóveis que integrem o patrimônio da empresa ou gravá-los de ônus real.</w:t>
      </w:r>
    </w:p>
    <w:p w:rsidR="003F3987" w:rsidRDefault="003F3987" w:rsidP="005334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Para o empresário individual o art. 978 do CC só se aplica se for averbado na matrícula do imóvel a autorização uxória da esposa para se desfazer de imóvel.</w:t>
      </w:r>
    </w:p>
    <w:p w:rsidR="00107BBD" w:rsidRDefault="00107BBD" w:rsidP="0053347A">
      <w:pPr>
        <w:jc w:val="both"/>
        <w:rPr>
          <w:rFonts w:ascii="Arial" w:hAnsi="Arial" w:cs="Arial"/>
          <w:sz w:val="24"/>
        </w:rPr>
      </w:pPr>
    </w:p>
    <w:p w:rsidR="00EA7E16" w:rsidRDefault="00EA7E16" w:rsidP="00EA7E1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EA7E16">
        <w:rPr>
          <w:rFonts w:ascii="Arial" w:hAnsi="Arial" w:cs="Arial"/>
          <w:sz w:val="24"/>
        </w:rPr>
        <w:t xml:space="preserve">Art. 977 - não pode ser </w:t>
      </w:r>
      <w:proofErr w:type="gramStart"/>
      <w:r w:rsidRPr="00EA7E16">
        <w:rPr>
          <w:rFonts w:ascii="Arial" w:hAnsi="Arial" w:cs="Arial"/>
          <w:sz w:val="24"/>
        </w:rPr>
        <w:t>sócios</w:t>
      </w:r>
      <w:proofErr w:type="gramEnd"/>
      <w:r w:rsidRPr="00EA7E16">
        <w:rPr>
          <w:rFonts w:ascii="Arial" w:hAnsi="Arial" w:cs="Arial"/>
          <w:sz w:val="24"/>
        </w:rPr>
        <w:t>, o casal no regime:</w:t>
      </w:r>
      <w:r>
        <w:rPr>
          <w:rFonts w:ascii="Arial" w:hAnsi="Arial" w:cs="Arial"/>
          <w:sz w:val="24"/>
        </w:rPr>
        <w:t xml:space="preserve"> </w:t>
      </w:r>
    </w:p>
    <w:p w:rsidR="00EA7E16" w:rsidRPr="00EA7E16" w:rsidRDefault="00EA7E16" w:rsidP="00EA7E16">
      <w:pPr>
        <w:jc w:val="both"/>
        <w:rPr>
          <w:rFonts w:ascii="Arial" w:hAnsi="Arial" w:cs="Arial"/>
          <w:sz w:val="24"/>
        </w:rPr>
      </w:pPr>
      <w:proofErr w:type="gramStart"/>
      <w:r w:rsidRPr="00EA7E16">
        <w:rPr>
          <w:rFonts w:ascii="Arial" w:hAnsi="Arial" w:cs="Arial"/>
          <w:sz w:val="24"/>
        </w:rPr>
        <w:t>e</w:t>
      </w:r>
      <w:proofErr w:type="gramEnd"/>
      <w:r w:rsidRPr="00EA7E16">
        <w:rPr>
          <w:rFonts w:ascii="Arial" w:hAnsi="Arial" w:cs="Arial"/>
          <w:sz w:val="24"/>
        </w:rPr>
        <w:t xml:space="preserve"> também o casal não podem ser sócios ao mesmo tempo de um terceiro</w:t>
      </w:r>
    </w:p>
    <w:p w:rsidR="00EA7E16" w:rsidRPr="00EA7E16" w:rsidRDefault="00EA7E16" w:rsidP="00EA7E16">
      <w:pPr>
        <w:jc w:val="both"/>
        <w:rPr>
          <w:rFonts w:ascii="Arial" w:hAnsi="Arial" w:cs="Arial"/>
          <w:sz w:val="24"/>
        </w:rPr>
      </w:pPr>
    </w:p>
    <w:p w:rsidR="00EA7E16" w:rsidRPr="00EA7E16" w:rsidRDefault="00EA7E16" w:rsidP="00EA7E16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Comunhão total - não pode</w:t>
      </w:r>
    </w:p>
    <w:p w:rsidR="00EA7E16" w:rsidRPr="00EA7E16" w:rsidRDefault="00EA7E16" w:rsidP="00EA7E16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Compunhão parcial - pode</w:t>
      </w:r>
    </w:p>
    <w:p w:rsidR="00EA7E16" w:rsidRPr="00EA7E16" w:rsidRDefault="00EA7E16" w:rsidP="00EA7E16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Participação nos aquestros - pode</w:t>
      </w:r>
    </w:p>
    <w:p w:rsidR="00EA7E16" w:rsidRPr="00EA7E16" w:rsidRDefault="00EA7E16" w:rsidP="00EA7E16">
      <w:pPr>
        <w:jc w:val="both"/>
        <w:rPr>
          <w:rFonts w:ascii="Arial" w:hAnsi="Arial" w:cs="Arial"/>
          <w:sz w:val="24"/>
        </w:rPr>
      </w:pPr>
    </w:p>
    <w:p w:rsidR="00EA7E16" w:rsidRPr="00EA7E16" w:rsidRDefault="00EA7E16" w:rsidP="00EA7E16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Obrigatória - não pode</w:t>
      </w:r>
    </w:p>
    <w:p w:rsidR="00EA7E16" w:rsidRDefault="00EA7E16" w:rsidP="00EA7E16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consensual - pode</w:t>
      </w:r>
    </w:p>
    <w:p w:rsidR="00693B94" w:rsidRDefault="00693B94" w:rsidP="005334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C54614" w:rsidRDefault="00C54614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Cláusulas Especiais: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 administração permanente, irrevogável e irretratável, competirá ao nosso cliente...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Direitos políticos: (direito de votar na reunião de sócios)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Os direitos políticos pertencem aos seguintes sócios...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Cláusula de mandato: o cliente será o mandatário (procurador) do filho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Cláusula de arrependimento: (call option - opção de compra)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 xml:space="preserve">(Exemplo: casal tem 2 filhos faz a </w:t>
      </w:r>
      <w:proofErr w:type="gramStart"/>
      <w:r w:rsidRPr="00C54614">
        <w:rPr>
          <w:rFonts w:ascii="Arial" w:hAnsi="Arial" w:cs="Arial"/>
          <w:sz w:val="24"/>
        </w:rPr>
        <w:t>holding  e</w:t>
      </w:r>
      <w:proofErr w:type="gramEnd"/>
      <w:r w:rsidRPr="00C54614">
        <w:rPr>
          <w:rFonts w:ascii="Arial" w:hAnsi="Arial" w:cs="Arial"/>
          <w:sz w:val="24"/>
        </w:rPr>
        <w:t xml:space="preserve"> depois se separa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o</w:t>
      </w:r>
      <w:proofErr w:type="gramEnd"/>
      <w:r w:rsidRPr="00C54614">
        <w:rPr>
          <w:rFonts w:ascii="Arial" w:hAnsi="Arial" w:cs="Arial"/>
          <w:sz w:val="24"/>
        </w:rPr>
        <w:t xml:space="preserve"> marido casa com outra e tem um filho...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Assim, a holding pode ser refeita para incluir o novo filho - basta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dissolver</w:t>
      </w:r>
      <w:proofErr w:type="gramEnd"/>
      <w:r w:rsidRPr="00C54614">
        <w:rPr>
          <w:rFonts w:ascii="Arial" w:hAnsi="Arial" w:cs="Arial"/>
          <w:sz w:val="24"/>
        </w:rPr>
        <w:t xml:space="preserve"> o 1/6 de cada filho e deixar 1/3 repartindo entre os 3 filhos)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 xml:space="preserve">Cláusula do desapego com </w:t>
      </w:r>
      <w:proofErr w:type="gramStart"/>
      <w:r w:rsidRPr="00C54614">
        <w:rPr>
          <w:rFonts w:ascii="Arial" w:hAnsi="Arial" w:cs="Arial"/>
          <w:sz w:val="24"/>
        </w:rPr>
        <w:t>super poderes</w:t>
      </w:r>
      <w:proofErr w:type="gramEnd"/>
      <w:r w:rsidRPr="00C54614">
        <w:rPr>
          <w:rFonts w:ascii="Arial" w:hAnsi="Arial" w:cs="Arial"/>
          <w:sz w:val="24"/>
        </w:rPr>
        <w:t>: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lastRenderedPageBreak/>
        <w:t>(Golden Share - para quem não consegue ter desapego)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(</w:t>
      </w:r>
      <w:proofErr w:type="gramStart"/>
      <w:r w:rsidRPr="00C54614">
        <w:rPr>
          <w:rFonts w:ascii="Arial" w:hAnsi="Arial" w:cs="Arial"/>
          <w:sz w:val="24"/>
        </w:rPr>
        <w:t>exemplo</w:t>
      </w:r>
      <w:proofErr w:type="gramEnd"/>
      <w:r w:rsidRPr="00C54614">
        <w:rPr>
          <w:rFonts w:ascii="Arial" w:hAnsi="Arial" w:cs="Arial"/>
          <w:sz w:val="24"/>
        </w:rPr>
        <w:t>: a embraer não é do governo brasileiro, mas tem uma cláusula golden share que garante ao governo brasileiro eleger o conselho de adm)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(</w:t>
      </w:r>
      <w:proofErr w:type="gramStart"/>
      <w:r w:rsidRPr="00C54614">
        <w:rPr>
          <w:rFonts w:ascii="Arial" w:hAnsi="Arial" w:cs="Arial"/>
          <w:sz w:val="24"/>
        </w:rPr>
        <w:t>pode</w:t>
      </w:r>
      <w:proofErr w:type="gramEnd"/>
      <w:r w:rsidRPr="00C54614">
        <w:rPr>
          <w:rFonts w:ascii="Arial" w:hAnsi="Arial" w:cs="Arial"/>
          <w:sz w:val="24"/>
        </w:rPr>
        <w:t xml:space="preserve"> ser uma ação preferencial que garante o golden share)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Poder do acordo de sócios: (quem fica com o quê)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Filhos menores - arts. 1690 - 1691 cc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Herdeiros: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art. 227, parágrafo 6º da cf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Art. 1845 cc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Pessoas interditadas: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art. 1749-1774 cc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Regime de comunhão universal de bens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art. 977 cc - o casal não pode constituir sociedade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solução</w:t>
      </w:r>
      <w:proofErr w:type="gramEnd"/>
      <w:r w:rsidRPr="00C54614">
        <w:rPr>
          <w:rFonts w:ascii="Arial" w:hAnsi="Arial" w:cs="Arial"/>
          <w:sz w:val="24"/>
        </w:rPr>
        <w:t xml:space="preserve"> 1: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pode</w:t>
      </w:r>
      <w:proofErr w:type="gramEnd"/>
      <w:r w:rsidRPr="00C54614">
        <w:rPr>
          <w:rFonts w:ascii="Arial" w:hAnsi="Arial" w:cs="Arial"/>
          <w:sz w:val="24"/>
        </w:rPr>
        <w:t xml:space="preserve"> fazer a holding em nome do marido ou da mulher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celula</w:t>
      </w:r>
      <w:proofErr w:type="gramEnd"/>
      <w:r w:rsidRPr="00C54614">
        <w:rPr>
          <w:rFonts w:ascii="Arial" w:hAnsi="Arial" w:cs="Arial"/>
          <w:sz w:val="24"/>
        </w:rPr>
        <w:t xml:space="preserve"> cofre em nome de apenas um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outorga</w:t>
      </w:r>
      <w:proofErr w:type="gramEnd"/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administração</w:t>
      </w:r>
      <w:proofErr w:type="gramEnd"/>
      <w:r w:rsidRPr="00C54614">
        <w:rPr>
          <w:rFonts w:ascii="Arial" w:hAnsi="Arial" w:cs="Arial"/>
          <w:sz w:val="24"/>
        </w:rPr>
        <w:t xml:space="preserve"> para ambos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solução</w:t>
      </w:r>
      <w:proofErr w:type="gramEnd"/>
      <w:r w:rsidRPr="00C54614">
        <w:rPr>
          <w:rFonts w:ascii="Arial" w:hAnsi="Arial" w:cs="Arial"/>
          <w:sz w:val="24"/>
        </w:rPr>
        <w:t xml:space="preserve"> 2: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fazer</w:t>
      </w:r>
      <w:proofErr w:type="gramEnd"/>
      <w:r w:rsidRPr="00C54614">
        <w:rPr>
          <w:rFonts w:ascii="Arial" w:hAnsi="Arial" w:cs="Arial"/>
          <w:sz w:val="24"/>
        </w:rPr>
        <w:t xml:space="preserve"> condomínio de quotas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não</w:t>
      </w:r>
      <w:proofErr w:type="gramEnd"/>
      <w:r w:rsidRPr="00C54614">
        <w:rPr>
          <w:rFonts w:ascii="Arial" w:hAnsi="Arial" w:cs="Arial"/>
          <w:sz w:val="24"/>
        </w:rPr>
        <w:t xml:space="preserve"> existe vedação legal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tem</w:t>
      </w:r>
      <w:proofErr w:type="gramEnd"/>
      <w:r w:rsidRPr="00C54614">
        <w:rPr>
          <w:rFonts w:ascii="Arial" w:hAnsi="Arial" w:cs="Arial"/>
          <w:sz w:val="24"/>
        </w:rPr>
        <w:t xml:space="preserve"> de nomear um representante - art. 1056, 1º cc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IN 81 do DREI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Anexo IV - manual de registro de Ltda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Capítulo II - Procedimento de registro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Seção I - Constituição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4º - Cláusulas obrigatórias do contrato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 xml:space="preserve">4.2.4 - </w:t>
      </w:r>
      <w:proofErr w:type="gramStart"/>
      <w:r w:rsidRPr="00C54614">
        <w:rPr>
          <w:rFonts w:ascii="Arial" w:hAnsi="Arial" w:cs="Arial"/>
          <w:sz w:val="24"/>
        </w:rPr>
        <w:t>Co-propriedade</w:t>
      </w:r>
      <w:proofErr w:type="gramEnd"/>
      <w:r w:rsidRPr="00C54614">
        <w:rPr>
          <w:rFonts w:ascii="Arial" w:hAnsi="Arial" w:cs="Arial"/>
          <w:sz w:val="24"/>
        </w:rPr>
        <w:t xml:space="preserve"> de quotas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Independente do regime bens ou da utilização do condomínio de quotas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colocar</w:t>
      </w:r>
      <w:proofErr w:type="gramEnd"/>
      <w:r w:rsidRPr="00C54614">
        <w:rPr>
          <w:rFonts w:ascii="Arial" w:hAnsi="Arial" w:cs="Arial"/>
          <w:sz w:val="24"/>
        </w:rPr>
        <w:t xml:space="preserve"> as cláusulas do usufruto  e proteção para ambos os cônjuges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podem</w:t>
      </w:r>
      <w:proofErr w:type="gramEnd"/>
      <w:r w:rsidRPr="00C54614">
        <w:rPr>
          <w:rFonts w:ascii="Arial" w:hAnsi="Arial" w:cs="Arial"/>
          <w:sz w:val="24"/>
        </w:rPr>
        <w:t xml:space="preserve"> extinguirem somente quando ambos se forem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Holding com Prazo determinado: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 xml:space="preserve">art. </w:t>
      </w:r>
      <w:proofErr w:type="gramStart"/>
      <w:r w:rsidRPr="00C54614">
        <w:rPr>
          <w:rFonts w:ascii="Arial" w:hAnsi="Arial" w:cs="Arial"/>
          <w:sz w:val="24"/>
        </w:rPr>
        <w:t>1410,V</w:t>
      </w:r>
      <w:proofErr w:type="gramEnd"/>
      <w:r w:rsidRPr="00C54614">
        <w:rPr>
          <w:rFonts w:ascii="Arial" w:hAnsi="Arial" w:cs="Arial"/>
          <w:sz w:val="24"/>
        </w:rPr>
        <w:t xml:space="preserve"> - cc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o</w:t>
      </w:r>
      <w:proofErr w:type="gramEnd"/>
      <w:r w:rsidRPr="00C54614">
        <w:rPr>
          <w:rFonts w:ascii="Arial" w:hAnsi="Arial" w:cs="Arial"/>
          <w:sz w:val="24"/>
        </w:rPr>
        <w:t xml:space="preserve"> usufruto extingue-se [...] pela destruição da coisa.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C54614">
        <w:rPr>
          <w:rFonts w:ascii="Arial" w:hAnsi="Arial" w:cs="Arial"/>
          <w:sz w:val="24"/>
        </w:rPr>
        <w:t>art. 1029 cc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além</w:t>
      </w:r>
      <w:proofErr w:type="gramEnd"/>
      <w:r w:rsidRPr="00C54614">
        <w:rPr>
          <w:rFonts w:ascii="Arial" w:hAnsi="Arial" w:cs="Arial"/>
          <w:sz w:val="24"/>
        </w:rPr>
        <w:t xml:space="preserve"> dos casos previstos na lei ou no contrato,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qualquer</w:t>
      </w:r>
      <w:proofErr w:type="gramEnd"/>
      <w:r w:rsidRPr="00C54614">
        <w:rPr>
          <w:rFonts w:ascii="Arial" w:hAnsi="Arial" w:cs="Arial"/>
          <w:sz w:val="24"/>
        </w:rPr>
        <w:t xml:space="preserve"> sócio pode retirar-se da sociedade [...]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se</w:t>
      </w:r>
      <w:proofErr w:type="gramEnd"/>
      <w:r w:rsidRPr="00C54614">
        <w:rPr>
          <w:rFonts w:ascii="Arial" w:hAnsi="Arial" w:cs="Arial"/>
          <w:sz w:val="24"/>
        </w:rPr>
        <w:t xml:space="preserve"> de prazo indeterminado, mediante notificação aos demais sócios,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com</w:t>
      </w:r>
      <w:proofErr w:type="gramEnd"/>
      <w:r w:rsidRPr="00C54614">
        <w:rPr>
          <w:rFonts w:ascii="Arial" w:hAnsi="Arial" w:cs="Arial"/>
          <w:sz w:val="24"/>
        </w:rPr>
        <w:t xml:space="preserve"> antecedência mínima de 60 dias [...]</w:t>
      </w: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P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se</w:t>
      </w:r>
      <w:proofErr w:type="gramEnd"/>
      <w:r w:rsidRPr="00C54614">
        <w:rPr>
          <w:rFonts w:ascii="Arial" w:hAnsi="Arial" w:cs="Arial"/>
          <w:sz w:val="24"/>
        </w:rPr>
        <w:t xml:space="preserve"> de prazo determinado,</w:t>
      </w:r>
    </w:p>
    <w:p w:rsidR="00C54614" w:rsidRDefault="00C54614" w:rsidP="00C54614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C54614">
        <w:rPr>
          <w:rFonts w:ascii="Arial" w:hAnsi="Arial" w:cs="Arial"/>
          <w:sz w:val="24"/>
        </w:rPr>
        <w:t>provando</w:t>
      </w:r>
      <w:proofErr w:type="gramEnd"/>
      <w:r w:rsidRPr="00C54614">
        <w:rPr>
          <w:rFonts w:ascii="Arial" w:hAnsi="Arial" w:cs="Arial"/>
          <w:sz w:val="24"/>
        </w:rPr>
        <w:t xml:space="preserve"> judicialmente justa causa.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Art. 156, 2º, I, CF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O imposto previsto no inciso II (ITBI) não incide sobre a transmissão de bens ou direitos incorporados ao patrimônio de pessoa jurídica em realização de capital.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[...]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Salvo se, nesses casos, a atividade preponderante do adquirente for a compra e venda desses bens ou direitos, locação de bens imóveis ou arrendamento mercantil.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Atividade preponderante: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art. 37, 1º do CTN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COnsidera-se caracterizada a atividade preponderante referida neste artigo quando mais de 50% da receita operacional da pessoa jurídica adquirente, nos 2 anos anteriores e nos 2 anos subsequentes à aquisição decorrer de transações mencionadas neste artigo.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Art. 37, 2º do CTN - prazo para empresas novas: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Se a pessoa jurídica adquirete iniciar suas atividades após a aquisição, ou menos de 2 anos antes dela [...]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404BCC">
        <w:rPr>
          <w:rFonts w:ascii="Arial" w:hAnsi="Arial" w:cs="Arial"/>
          <w:sz w:val="24"/>
        </w:rPr>
        <w:lastRenderedPageBreak/>
        <w:t>apurar</w:t>
      </w:r>
      <w:proofErr w:type="gramEnd"/>
      <w:r w:rsidRPr="00404BCC">
        <w:rPr>
          <w:rFonts w:ascii="Arial" w:hAnsi="Arial" w:cs="Arial"/>
          <w:sz w:val="24"/>
        </w:rPr>
        <w:t>-se-á a preponderância referida no parágrafo anterior levando em conta os 3 primeiros anos seguintes à data da aquisição.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 xml:space="preserve">- </w:t>
      </w:r>
      <w:proofErr w:type="gramStart"/>
      <w:r w:rsidRPr="00404BCC">
        <w:rPr>
          <w:rFonts w:ascii="Arial" w:hAnsi="Arial" w:cs="Arial"/>
          <w:sz w:val="24"/>
        </w:rPr>
        <w:t>se</w:t>
      </w:r>
      <w:proofErr w:type="gramEnd"/>
      <w:r w:rsidRPr="00404BCC">
        <w:rPr>
          <w:rFonts w:ascii="Arial" w:hAnsi="Arial" w:cs="Arial"/>
          <w:sz w:val="24"/>
        </w:rPr>
        <w:t xml:space="preserve"> a atv vier a ser preponderante futuramente tem q pagar o itbi + multa + juros e correção monetária.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Art. 1225 - são direitos reais: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 xml:space="preserve">- </w:t>
      </w:r>
      <w:proofErr w:type="gramStart"/>
      <w:r w:rsidRPr="00404BCC">
        <w:rPr>
          <w:rFonts w:ascii="Arial" w:hAnsi="Arial" w:cs="Arial"/>
          <w:sz w:val="24"/>
        </w:rPr>
        <w:t>a</w:t>
      </w:r>
      <w:proofErr w:type="gramEnd"/>
      <w:r w:rsidRPr="00404BCC">
        <w:rPr>
          <w:rFonts w:ascii="Arial" w:hAnsi="Arial" w:cs="Arial"/>
          <w:sz w:val="24"/>
        </w:rPr>
        <w:t xml:space="preserve"> propriedade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 xml:space="preserve">- </w:t>
      </w:r>
      <w:proofErr w:type="gramStart"/>
      <w:r w:rsidRPr="00404BCC">
        <w:rPr>
          <w:rFonts w:ascii="Arial" w:hAnsi="Arial" w:cs="Arial"/>
          <w:sz w:val="24"/>
        </w:rPr>
        <w:t>a</w:t>
      </w:r>
      <w:proofErr w:type="gramEnd"/>
      <w:r w:rsidRPr="00404BCC">
        <w:rPr>
          <w:rFonts w:ascii="Arial" w:hAnsi="Arial" w:cs="Arial"/>
          <w:sz w:val="24"/>
        </w:rPr>
        <w:t xml:space="preserve"> superficie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 xml:space="preserve">- </w:t>
      </w:r>
      <w:proofErr w:type="gramStart"/>
      <w:r w:rsidRPr="00404BCC">
        <w:rPr>
          <w:rFonts w:ascii="Arial" w:hAnsi="Arial" w:cs="Arial"/>
          <w:sz w:val="24"/>
        </w:rPr>
        <w:t>as</w:t>
      </w:r>
      <w:proofErr w:type="gramEnd"/>
      <w:r w:rsidRPr="00404BCC">
        <w:rPr>
          <w:rFonts w:ascii="Arial" w:hAnsi="Arial" w:cs="Arial"/>
          <w:sz w:val="24"/>
        </w:rPr>
        <w:t xml:space="preserve"> servidões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 xml:space="preserve">- </w:t>
      </w:r>
      <w:proofErr w:type="gramStart"/>
      <w:r w:rsidRPr="00404BCC">
        <w:rPr>
          <w:rFonts w:ascii="Arial" w:hAnsi="Arial" w:cs="Arial"/>
          <w:sz w:val="24"/>
        </w:rPr>
        <w:t>o</w:t>
      </w:r>
      <w:proofErr w:type="gramEnd"/>
      <w:r w:rsidRPr="00404BCC">
        <w:rPr>
          <w:rFonts w:ascii="Arial" w:hAnsi="Arial" w:cs="Arial"/>
          <w:sz w:val="24"/>
        </w:rPr>
        <w:t xml:space="preserve"> usufruto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art. 10 lei locações - Lei 8245/91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Morrendo o locador a locação transmite-se aos herdeiros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404BCC">
        <w:rPr>
          <w:rFonts w:ascii="Arial" w:hAnsi="Arial" w:cs="Arial"/>
          <w:sz w:val="24"/>
        </w:rPr>
        <w:t>Prof.:Silvio</w:t>
      </w:r>
      <w:proofErr w:type="gramEnd"/>
      <w:r w:rsidRPr="00404BCC">
        <w:rPr>
          <w:rFonts w:ascii="Arial" w:hAnsi="Arial" w:cs="Arial"/>
          <w:sz w:val="24"/>
        </w:rPr>
        <w:t xml:space="preserve"> capanema: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Justamente porque não se trata de ato translativo de domínio (não transfere a propriedade), não se exige do locador que seja o titular da propriedade do imóvel locado, bastando-lhe ter a sua posse e dela poder dispor.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STJ - Resp 1.196.824)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[...]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Tendo em vista a natureza pessoal da relação de locação, o sujeito ativo da ação de despejo identifica-se com o locador,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404BCC">
        <w:rPr>
          <w:rFonts w:ascii="Arial" w:hAnsi="Arial" w:cs="Arial"/>
          <w:sz w:val="24"/>
        </w:rPr>
        <w:t>assim</w:t>
      </w:r>
      <w:proofErr w:type="gramEnd"/>
      <w:r w:rsidRPr="00404BCC">
        <w:rPr>
          <w:rFonts w:ascii="Arial" w:hAnsi="Arial" w:cs="Arial"/>
          <w:sz w:val="24"/>
        </w:rPr>
        <w:t xml:space="preserve"> definido no respectivo contrato de locação, podendo ou não coincidir com a figura do proprietário.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404BCC">
        <w:rPr>
          <w:rFonts w:ascii="Arial" w:hAnsi="Arial" w:cs="Arial"/>
          <w:sz w:val="24"/>
        </w:rPr>
        <w:t>para</w:t>
      </w:r>
      <w:proofErr w:type="gramEnd"/>
      <w:r w:rsidRPr="00404BCC">
        <w:rPr>
          <w:rFonts w:ascii="Arial" w:hAnsi="Arial" w:cs="Arial"/>
          <w:sz w:val="24"/>
        </w:rPr>
        <w:t xml:space="preserve"> atv de locação de imóveis: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404BCC">
        <w:rPr>
          <w:rFonts w:ascii="Arial" w:hAnsi="Arial" w:cs="Arial"/>
          <w:sz w:val="24"/>
        </w:rPr>
        <w:t>fazer</w:t>
      </w:r>
      <w:proofErr w:type="gramEnd"/>
      <w:r w:rsidRPr="00404BCC">
        <w:rPr>
          <w:rFonts w:ascii="Arial" w:hAnsi="Arial" w:cs="Arial"/>
          <w:sz w:val="24"/>
        </w:rPr>
        <w:t xml:space="preserve"> a célula cofre e depois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404BCC">
        <w:rPr>
          <w:rFonts w:ascii="Arial" w:hAnsi="Arial" w:cs="Arial"/>
          <w:sz w:val="24"/>
        </w:rPr>
        <w:t>constitutir</w:t>
      </w:r>
      <w:proofErr w:type="gramEnd"/>
      <w:r w:rsidRPr="00404BCC">
        <w:rPr>
          <w:rFonts w:ascii="Arial" w:hAnsi="Arial" w:cs="Arial"/>
          <w:sz w:val="24"/>
        </w:rPr>
        <w:t xml:space="preserve"> uma célula operacional ou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404BCC">
        <w:rPr>
          <w:rFonts w:ascii="Arial" w:hAnsi="Arial" w:cs="Arial"/>
          <w:sz w:val="24"/>
        </w:rPr>
        <w:t>fazer</w:t>
      </w:r>
      <w:proofErr w:type="gramEnd"/>
      <w:r w:rsidRPr="00404BCC">
        <w:rPr>
          <w:rFonts w:ascii="Arial" w:hAnsi="Arial" w:cs="Arial"/>
          <w:sz w:val="24"/>
        </w:rPr>
        <w:t xml:space="preserve"> a locação pela pessoa física.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Fazer cessão onerosa da posse para evitar o art. 41 do IR: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Art. 41, 1º decreto 9580/2018 (reg. IR)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404BCC">
        <w:rPr>
          <w:rFonts w:ascii="Arial" w:hAnsi="Arial" w:cs="Arial"/>
          <w:sz w:val="24"/>
        </w:rPr>
        <w:t>Na hipótese de imóvel cedido gratuitamente, constitui rendimento tributável na delcaração de ajuste anual o equivalente a 10% do seu valor venal.</w:t>
      </w:r>
    </w:p>
    <w:p w:rsidR="00404BCC" w:rsidRPr="00404BCC" w:rsidRDefault="00404BCC" w:rsidP="00404BC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C54614" w:rsidRDefault="00C54614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Lei 13.874/2019 - Lei da liberdade econômica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D6457C">
        <w:rPr>
          <w:rFonts w:ascii="Arial" w:hAnsi="Arial" w:cs="Arial"/>
          <w:sz w:val="24"/>
        </w:rPr>
        <w:t>alterou</w:t>
      </w:r>
      <w:proofErr w:type="gramEnd"/>
      <w:r w:rsidRPr="00D6457C">
        <w:rPr>
          <w:rFonts w:ascii="Arial" w:hAnsi="Arial" w:cs="Arial"/>
          <w:sz w:val="24"/>
        </w:rPr>
        <w:t xml:space="preserve"> a teoria geral dos contratos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art. 421 - Nas relações contratuais privadas, prevalecerão o princípio da intervenção mínima e a excepcionalidade da revisão contratual.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art. 421-A - os contratos civies e empresariais presumem-se paritários e simétricos até a presença de elementos concretos que justifiquem o afastamento dessa presunção.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[...] resalvados os regimes jurídicos previstos em leis especiais.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D6457C">
        <w:rPr>
          <w:rFonts w:ascii="Arial" w:hAnsi="Arial" w:cs="Arial"/>
          <w:sz w:val="24"/>
        </w:rPr>
        <w:t>garantindo</w:t>
      </w:r>
      <w:proofErr w:type="gramEnd"/>
      <w:r w:rsidRPr="00D6457C">
        <w:rPr>
          <w:rFonts w:ascii="Arial" w:hAnsi="Arial" w:cs="Arial"/>
          <w:sz w:val="24"/>
        </w:rPr>
        <w:t xml:space="preserve"> também: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 xml:space="preserve">I - </w:t>
      </w:r>
      <w:proofErr w:type="gramStart"/>
      <w:r w:rsidRPr="00D6457C">
        <w:rPr>
          <w:rFonts w:ascii="Arial" w:hAnsi="Arial" w:cs="Arial"/>
          <w:sz w:val="24"/>
        </w:rPr>
        <w:t>as</w:t>
      </w:r>
      <w:proofErr w:type="gramEnd"/>
      <w:r w:rsidRPr="00D6457C">
        <w:rPr>
          <w:rFonts w:ascii="Arial" w:hAnsi="Arial" w:cs="Arial"/>
          <w:sz w:val="24"/>
        </w:rPr>
        <w:t xml:space="preserve"> partes negociantes poderão estabelecer parâmetros objetivos para a interpretação das cláusulas negociais e de seus pressupostos de revisão ou de resolução.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obs.: pode inserir uma cláusula que para revisar o contrato tem de caucionar 2x o valor do contrato.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II - A alocação de risco definida pelas partes deve ser respeitada e observada.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III - A revisão contratual somente ocorrerá de maneira excepcional e limitada.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>Art. 3º - São direitos de toda pessoa, natural ou jurídica, essenciais para o desenvolvimento e o crescimento econômicos do país observado o disposto no parágrafo único do art. 170 da CF.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 xml:space="preserve">VIII - Ter a garantia de que os negócios jurídicos empresariais paritários serão objeto de livre estipulação das partes pactuantes, </w:t>
      </w:r>
    </w:p>
    <w:p w:rsidR="00D6457C" w:rsidRPr="00D6457C" w:rsidRDefault="00D6457C" w:rsidP="00D6457C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D6457C">
        <w:rPr>
          <w:rFonts w:ascii="Arial" w:hAnsi="Arial" w:cs="Arial"/>
          <w:sz w:val="24"/>
        </w:rPr>
        <w:t xml:space="preserve">[...], de forma a aplicar todas </w:t>
      </w:r>
      <w:proofErr w:type="gramStart"/>
      <w:r w:rsidRPr="00D6457C">
        <w:rPr>
          <w:rFonts w:ascii="Arial" w:hAnsi="Arial" w:cs="Arial"/>
          <w:sz w:val="24"/>
        </w:rPr>
        <w:t>as  regras</w:t>
      </w:r>
      <w:proofErr w:type="gramEnd"/>
      <w:r w:rsidRPr="00D6457C">
        <w:rPr>
          <w:rFonts w:ascii="Arial" w:hAnsi="Arial" w:cs="Arial"/>
          <w:sz w:val="24"/>
        </w:rPr>
        <w:t xml:space="preserve"> de direito empresarial apenas de maneira subsidiária ao avençado, exceto normas de ordem pública (não pode por ex: criar cláusulas p/não pagar impostos ou suprimir direitos trabalhistas)</w:t>
      </w:r>
    </w:p>
    <w:p w:rsidR="00D6457C" w:rsidRDefault="00D6457C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Art. 155, 1º, CF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ITCMD: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 xml:space="preserve">I - </w:t>
      </w:r>
      <w:proofErr w:type="gramStart"/>
      <w:r w:rsidRPr="002524C7">
        <w:rPr>
          <w:rFonts w:ascii="Arial" w:hAnsi="Arial" w:cs="Arial"/>
          <w:sz w:val="24"/>
        </w:rPr>
        <w:t>relativamente</w:t>
      </w:r>
      <w:proofErr w:type="gramEnd"/>
      <w:r w:rsidRPr="002524C7">
        <w:rPr>
          <w:rFonts w:ascii="Arial" w:hAnsi="Arial" w:cs="Arial"/>
          <w:sz w:val="24"/>
        </w:rPr>
        <w:t xml:space="preserve"> a bens imóveis e respectivos direitos compete ao Estado da situação do bem, ou o DF.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(</w:t>
      </w:r>
      <w:proofErr w:type="gramStart"/>
      <w:r w:rsidRPr="002524C7">
        <w:rPr>
          <w:rFonts w:ascii="Arial" w:hAnsi="Arial" w:cs="Arial"/>
          <w:sz w:val="24"/>
        </w:rPr>
        <w:t>recolhe</w:t>
      </w:r>
      <w:proofErr w:type="gramEnd"/>
      <w:r w:rsidRPr="002524C7">
        <w:rPr>
          <w:rFonts w:ascii="Arial" w:hAnsi="Arial" w:cs="Arial"/>
          <w:sz w:val="24"/>
        </w:rPr>
        <w:t xml:space="preserve"> o imposto no estado em que está localizado o imóvel)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 xml:space="preserve">II - </w:t>
      </w:r>
      <w:proofErr w:type="gramStart"/>
      <w:r w:rsidRPr="002524C7">
        <w:rPr>
          <w:rFonts w:ascii="Arial" w:hAnsi="Arial" w:cs="Arial"/>
          <w:sz w:val="24"/>
        </w:rPr>
        <w:t>relativamente</w:t>
      </w:r>
      <w:proofErr w:type="gramEnd"/>
      <w:r w:rsidRPr="002524C7">
        <w:rPr>
          <w:rFonts w:ascii="Arial" w:hAnsi="Arial" w:cs="Arial"/>
          <w:sz w:val="24"/>
        </w:rPr>
        <w:t xml:space="preserve"> a bens móveis, títulos e créditos, compete ao Estado onde tiver domicílio o doador, ou ao DF.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lastRenderedPageBreak/>
        <w:t>Art. 70 CC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O domicílio da pessoa natural é o lugar onde ela estabelece a sua residência com ânimo definitivo.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Art. 127 CTN: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Na falta de eleição, pelo contribuinte ou responsável, de domicílio tributário, na forma da legislação aplicável, considerando como tal: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(</w:t>
      </w:r>
      <w:proofErr w:type="gramStart"/>
      <w:r w:rsidRPr="002524C7">
        <w:rPr>
          <w:rFonts w:ascii="Arial" w:hAnsi="Arial" w:cs="Arial"/>
          <w:sz w:val="24"/>
        </w:rPr>
        <w:t>o</w:t>
      </w:r>
      <w:proofErr w:type="gramEnd"/>
      <w:r w:rsidRPr="002524C7">
        <w:rPr>
          <w:rFonts w:ascii="Arial" w:hAnsi="Arial" w:cs="Arial"/>
          <w:sz w:val="24"/>
        </w:rPr>
        <w:t xml:space="preserve"> contribuinte escolhe o estado que quer recolher pela declaração do IR)</w:t>
      </w: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2524C7" w:rsidRP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Art. 13, 2º lei das s/a</w:t>
      </w:r>
    </w:p>
    <w:p w:rsidR="002524C7" w:rsidRDefault="002524C7" w:rsidP="002524C7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2524C7">
        <w:rPr>
          <w:rFonts w:ascii="Arial" w:hAnsi="Arial" w:cs="Arial"/>
          <w:sz w:val="24"/>
        </w:rPr>
        <w:t>A contribuição do subscritor que ultrapassar o valor nominal constituirá reerva de capital (art. 182, 1º)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Se depois de constituida a holding o cliente adquirir imóvel,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o</w:t>
      </w:r>
      <w:proofErr w:type="gramEnd"/>
      <w:r w:rsidRPr="00E94186">
        <w:rPr>
          <w:rFonts w:ascii="Arial" w:hAnsi="Arial" w:cs="Arial"/>
          <w:sz w:val="24"/>
        </w:rPr>
        <w:t xml:space="preserve"> melhor é não passar para a pessoa física para evitar o pgto do ITBI,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deve</w:t>
      </w:r>
      <w:proofErr w:type="gramEnd"/>
      <w:r w:rsidRPr="00E94186">
        <w:rPr>
          <w:rFonts w:ascii="Arial" w:hAnsi="Arial" w:cs="Arial"/>
          <w:sz w:val="24"/>
        </w:rPr>
        <w:t xml:space="preserve"> adquirir o imóvel diretament em nome da holding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se</w:t>
      </w:r>
      <w:proofErr w:type="gramEnd"/>
      <w:r w:rsidRPr="00E94186">
        <w:rPr>
          <w:rFonts w:ascii="Arial" w:hAnsi="Arial" w:cs="Arial"/>
          <w:sz w:val="24"/>
        </w:rPr>
        <w:t xml:space="preserve"> adquirir em nome da pessoa física tem que integralizar o imóvel na holding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se</w:t>
      </w:r>
      <w:proofErr w:type="gramEnd"/>
      <w:r w:rsidRPr="00E94186">
        <w:rPr>
          <w:rFonts w:ascii="Arial" w:hAnsi="Arial" w:cs="Arial"/>
          <w:sz w:val="24"/>
        </w:rPr>
        <w:t xml:space="preserve"> integralizar na holding antes de 3 anos da última integralização tem q pagar o itbi.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ou</w:t>
      </w:r>
      <w:proofErr w:type="gramEnd"/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cria</w:t>
      </w:r>
      <w:proofErr w:type="gramEnd"/>
      <w:r w:rsidRPr="00E94186">
        <w:rPr>
          <w:rFonts w:ascii="Arial" w:hAnsi="Arial" w:cs="Arial"/>
          <w:sz w:val="24"/>
        </w:rPr>
        <w:t>-se uma outra célula e depois dos 3 anos faz a fusão dessa célula na holding.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--//--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se</w:t>
      </w:r>
      <w:proofErr w:type="gramEnd"/>
      <w:r w:rsidRPr="00E94186">
        <w:rPr>
          <w:rFonts w:ascii="Arial" w:hAnsi="Arial" w:cs="Arial"/>
          <w:sz w:val="24"/>
        </w:rPr>
        <w:t xml:space="preserve"> o cliente quiser vender um imóvel q está na holding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IR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PF a partir de 15% IR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PJ 25% + 9 % CSLL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Possibilidade 2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desintegralização</w:t>
      </w:r>
      <w:proofErr w:type="gramEnd"/>
      <w:r w:rsidRPr="00E94186">
        <w:rPr>
          <w:rFonts w:ascii="Arial" w:hAnsi="Arial" w:cs="Arial"/>
          <w:sz w:val="24"/>
        </w:rPr>
        <w:t xml:space="preserve"> do bem da holding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Art. 156, CRFB</w:t>
      </w:r>
      <w:bookmarkStart w:id="0" w:name="_GoBack"/>
      <w:bookmarkEnd w:id="0"/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Possibilidade 3: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Ajuste na classificação do imóvel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Propriedade para investimento -&gt; Estoque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Possibilidade 4: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 xml:space="preserve">Cisão para a venda do 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proofErr w:type="gramStart"/>
      <w:r w:rsidRPr="00E94186">
        <w:rPr>
          <w:rFonts w:ascii="Arial" w:hAnsi="Arial" w:cs="Arial"/>
          <w:sz w:val="24"/>
        </w:rPr>
        <w:t>imóvel</w:t>
      </w:r>
      <w:proofErr w:type="gramEnd"/>
      <w:r w:rsidRPr="00E94186">
        <w:rPr>
          <w:rFonts w:ascii="Arial" w:hAnsi="Arial" w:cs="Arial"/>
          <w:sz w:val="24"/>
        </w:rPr>
        <w:t xml:space="preserve"> pela nova sociedade</w:t>
      </w: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</w:p>
    <w:p w:rsidR="00E94186" w:rsidRPr="00E94186" w:rsidRDefault="00E94186" w:rsidP="00E94186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Pode vender na PF e comprar um novo imóvel já pela holding</w:t>
      </w:r>
    </w:p>
    <w:p w:rsidR="00E94186" w:rsidRDefault="00E94186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 w:rsidRPr="00E94186">
        <w:rPr>
          <w:rFonts w:ascii="Arial" w:hAnsi="Arial" w:cs="Arial"/>
          <w:sz w:val="24"/>
        </w:rPr>
        <w:t>Se a PF vende e adquire imóvel em 180</w:t>
      </w:r>
      <w:r>
        <w:rPr>
          <w:rFonts w:ascii="Arial" w:hAnsi="Arial" w:cs="Arial"/>
          <w:sz w:val="24"/>
        </w:rPr>
        <w:t xml:space="preserve"> dias também na PF não paga IR 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9A10F0">
      <w:pPr>
        <w:tabs>
          <w:tab w:val="left" w:pos="1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9A10F0" w:rsidRDefault="009A10F0" w:rsidP="0053347A">
      <w:pPr>
        <w:jc w:val="both"/>
        <w:rPr>
          <w:rFonts w:ascii="Arial" w:hAnsi="Arial" w:cs="Arial"/>
          <w:sz w:val="24"/>
        </w:rPr>
      </w:pPr>
    </w:p>
    <w:p w:rsidR="00693B94" w:rsidRDefault="00693B94" w:rsidP="0053347A">
      <w:pPr>
        <w:jc w:val="both"/>
        <w:rPr>
          <w:rFonts w:ascii="Arial" w:hAnsi="Arial" w:cs="Arial"/>
          <w:sz w:val="24"/>
        </w:rPr>
      </w:pPr>
    </w:p>
    <w:p w:rsidR="00693B94" w:rsidRDefault="00693B94" w:rsidP="0053347A">
      <w:pPr>
        <w:jc w:val="both"/>
        <w:rPr>
          <w:rFonts w:ascii="Arial" w:hAnsi="Arial" w:cs="Arial"/>
          <w:sz w:val="24"/>
        </w:rPr>
      </w:pP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A67103">
        <w:rPr>
          <w:rFonts w:ascii="Arial" w:hAnsi="Arial" w:cs="Arial"/>
          <w:sz w:val="24"/>
        </w:rPr>
        <w:t>Art. 978 CC - O empresário casado pode, sem necessidade de outorga conjugal, qualquer que seja o regime de bens, alienar os imóveis que integrem o patrimônio da empresa ou gravá-los de ônus real.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Para o empresário individual o art. 978 do CC só se aplica se for averbado na matrícula do imóvel a autorização uxória da esposa para se desfazer de imóvel.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EA7E16">
        <w:rPr>
          <w:rFonts w:ascii="Arial" w:hAnsi="Arial" w:cs="Arial"/>
          <w:sz w:val="24"/>
        </w:rPr>
        <w:t xml:space="preserve">Art. 977 - não pode ser </w:t>
      </w:r>
      <w:proofErr w:type="gramStart"/>
      <w:r w:rsidRPr="00EA7E16">
        <w:rPr>
          <w:rFonts w:ascii="Arial" w:hAnsi="Arial" w:cs="Arial"/>
          <w:sz w:val="24"/>
        </w:rPr>
        <w:t>sócios</w:t>
      </w:r>
      <w:proofErr w:type="gramEnd"/>
      <w:r w:rsidRPr="00EA7E16">
        <w:rPr>
          <w:rFonts w:ascii="Arial" w:hAnsi="Arial" w:cs="Arial"/>
          <w:sz w:val="24"/>
        </w:rPr>
        <w:t>, o casal no regime:</w:t>
      </w:r>
      <w:r>
        <w:rPr>
          <w:rFonts w:ascii="Arial" w:hAnsi="Arial" w:cs="Arial"/>
          <w:sz w:val="24"/>
        </w:rPr>
        <w:t xml:space="preserve"> 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proofErr w:type="gramStart"/>
      <w:r w:rsidRPr="00EA7E16">
        <w:rPr>
          <w:rFonts w:ascii="Arial" w:hAnsi="Arial" w:cs="Arial"/>
          <w:sz w:val="24"/>
        </w:rPr>
        <w:t>e</w:t>
      </w:r>
      <w:proofErr w:type="gramEnd"/>
      <w:r w:rsidRPr="00EA7E16">
        <w:rPr>
          <w:rFonts w:ascii="Arial" w:hAnsi="Arial" w:cs="Arial"/>
          <w:sz w:val="24"/>
        </w:rPr>
        <w:t xml:space="preserve"> também o casal não podem ser sócios ao mesmo tempo de um terceiro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Comunhão total - não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Compunhão parcial -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lastRenderedPageBreak/>
        <w:t>- Participação nos aquestros -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Obrigatória - não pode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consensual - pode</w:t>
      </w:r>
    </w:p>
    <w:p w:rsidR="00104EEE" w:rsidRDefault="000A03F2" w:rsidP="005334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B312FD" w:rsidRDefault="00B312FD" w:rsidP="0053347A">
      <w:pPr>
        <w:jc w:val="both"/>
        <w:rPr>
          <w:rFonts w:ascii="Arial" w:hAnsi="Arial" w:cs="Arial"/>
          <w:sz w:val="24"/>
        </w:rPr>
      </w:pPr>
    </w:p>
    <w:p w:rsidR="00B312FD" w:rsidRPr="00B312FD" w:rsidRDefault="00B312FD" w:rsidP="00B312FD">
      <w:pPr>
        <w:jc w:val="both"/>
        <w:rPr>
          <w:rFonts w:ascii="Arial" w:hAnsi="Arial" w:cs="Arial"/>
          <w:b/>
          <w:sz w:val="24"/>
          <w:u w:val="single"/>
        </w:rPr>
      </w:pPr>
      <w:r w:rsidRPr="00B312FD">
        <w:rPr>
          <w:rFonts w:ascii="Arial" w:hAnsi="Arial" w:cs="Arial"/>
          <w:b/>
          <w:sz w:val="24"/>
          <w:u w:val="single"/>
        </w:rPr>
        <w:t>REGIME SEPARAÇÃO OBRIGATÓRIA DE BENS – ART. 1687 E SEGUINTES CC/2002</w:t>
      </w: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Quem casa com menos de 18 anos</w:t>
      </w: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 xml:space="preserve">- </w:t>
      </w:r>
      <w:proofErr w:type="gramStart"/>
      <w:r w:rsidRPr="00B312FD">
        <w:rPr>
          <w:rFonts w:ascii="Arial" w:hAnsi="Arial" w:cs="Arial"/>
          <w:sz w:val="24"/>
        </w:rPr>
        <w:t>pessoas</w:t>
      </w:r>
      <w:proofErr w:type="gramEnd"/>
      <w:r w:rsidRPr="00B312FD">
        <w:rPr>
          <w:rFonts w:ascii="Arial" w:hAnsi="Arial" w:cs="Arial"/>
          <w:sz w:val="24"/>
        </w:rPr>
        <w:t xml:space="preserve"> com mais de 70 anos</w:t>
      </w: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Se o inventário do casamento anterior ainda não foi finalizado</w:t>
      </w: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Se o casamento se deu logo após a viuvês de uma das partes,</w:t>
      </w: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  <w:proofErr w:type="gramStart"/>
      <w:r w:rsidRPr="00B312FD">
        <w:rPr>
          <w:rFonts w:ascii="Arial" w:hAnsi="Arial" w:cs="Arial"/>
          <w:sz w:val="24"/>
        </w:rPr>
        <w:t>se</w:t>
      </w:r>
      <w:proofErr w:type="gramEnd"/>
      <w:r w:rsidRPr="00B312FD">
        <w:rPr>
          <w:rFonts w:ascii="Arial" w:hAnsi="Arial" w:cs="Arial"/>
          <w:sz w:val="24"/>
        </w:rPr>
        <w:t xml:space="preserve"> a partilha ainda não foi feita</w:t>
      </w: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</w:p>
    <w:p w:rsidR="00B312FD" w:rsidRPr="00B312FD" w:rsidRDefault="00B312FD" w:rsidP="00B312FD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Idoso com mais de 70 anos não pode modificar o regime de bens</w:t>
      </w:r>
    </w:p>
    <w:p w:rsidR="00B312FD" w:rsidRDefault="00B312FD" w:rsidP="00B312FD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 xml:space="preserve">- O menor assim </w:t>
      </w:r>
      <w:proofErr w:type="gramStart"/>
      <w:r w:rsidRPr="00B312FD">
        <w:rPr>
          <w:rFonts w:ascii="Arial" w:hAnsi="Arial" w:cs="Arial"/>
          <w:sz w:val="24"/>
        </w:rPr>
        <w:t>q</w:t>
      </w:r>
      <w:proofErr w:type="gramEnd"/>
      <w:r w:rsidRPr="00B312FD">
        <w:rPr>
          <w:rFonts w:ascii="Arial" w:hAnsi="Arial" w:cs="Arial"/>
          <w:sz w:val="24"/>
        </w:rPr>
        <w:t xml:space="preserve"> fizer 18 anos pode modificar o regime de bens</w:t>
      </w:r>
    </w:p>
    <w:p w:rsidR="00B312FD" w:rsidRDefault="00B312FD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B312FD" w:rsidRDefault="00B312FD" w:rsidP="00B312FD">
      <w:pPr>
        <w:jc w:val="both"/>
        <w:rPr>
          <w:rFonts w:ascii="Arial" w:hAnsi="Arial" w:cs="Arial"/>
          <w:sz w:val="24"/>
        </w:rPr>
      </w:pPr>
      <w:r w:rsidRPr="00A67103">
        <w:rPr>
          <w:rFonts w:ascii="Arial" w:hAnsi="Arial" w:cs="Arial"/>
          <w:sz w:val="24"/>
        </w:rPr>
        <w:t>Art. 978 CC - O empresário casado pode, sem necessidade de outorga conjugal, qualquer que seja o regime de bens, alienar os imóveis que integrem o patrimônio da empresa ou gravá-los de ônus real.</w:t>
      </w:r>
    </w:p>
    <w:p w:rsidR="00B312FD" w:rsidRDefault="00B312FD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Para o empresário individual o art. 978 do CC só se aplica se for averbado na matrícula do imóvel a autorização uxória da esposa para se desfazer de imóvel.</w:t>
      </w:r>
    </w:p>
    <w:p w:rsidR="00B312FD" w:rsidRDefault="00B312FD" w:rsidP="00B312FD">
      <w:pPr>
        <w:jc w:val="both"/>
        <w:rPr>
          <w:rFonts w:ascii="Arial" w:hAnsi="Arial" w:cs="Arial"/>
          <w:sz w:val="24"/>
        </w:rPr>
      </w:pPr>
    </w:p>
    <w:p w:rsidR="00B312FD" w:rsidRDefault="00B312FD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EA7E16">
        <w:rPr>
          <w:rFonts w:ascii="Arial" w:hAnsi="Arial" w:cs="Arial"/>
          <w:sz w:val="24"/>
        </w:rPr>
        <w:t xml:space="preserve">Art. 977 - não pode ser </w:t>
      </w:r>
      <w:proofErr w:type="gramStart"/>
      <w:r w:rsidRPr="00EA7E16">
        <w:rPr>
          <w:rFonts w:ascii="Arial" w:hAnsi="Arial" w:cs="Arial"/>
          <w:sz w:val="24"/>
        </w:rPr>
        <w:t>sócios</w:t>
      </w:r>
      <w:proofErr w:type="gramEnd"/>
      <w:r w:rsidRPr="00EA7E16">
        <w:rPr>
          <w:rFonts w:ascii="Arial" w:hAnsi="Arial" w:cs="Arial"/>
          <w:sz w:val="24"/>
        </w:rPr>
        <w:t>, o casal no regime:</w:t>
      </w:r>
      <w:r>
        <w:rPr>
          <w:rFonts w:ascii="Arial" w:hAnsi="Arial" w:cs="Arial"/>
          <w:sz w:val="24"/>
        </w:rPr>
        <w:t xml:space="preserve"> </w:t>
      </w:r>
    </w:p>
    <w:p w:rsidR="00B312FD" w:rsidRPr="00EA7E16" w:rsidRDefault="00B312FD" w:rsidP="00B312FD">
      <w:pPr>
        <w:jc w:val="both"/>
        <w:rPr>
          <w:rFonts w:ascii="Arial" w:hAnsi="Arial" w:cs="Arial"/>
          <w:sz w:val="24"/>
        </w:rPr>
      </w:pPr>
      <w:proofErr w:type="gramStart"/>
      <w:r w:rsidRPr="00EA7E16">
        <w:rPr>
          <w:rFonts w:ascii="Arial" w:hAnsi="Arial" w:cs="Arial"/>
          <w:sz w:val="24"/>
        </w:rPr>
        <w:t>e</w:t>
      </w:r>
      <w:proofErr w:type="gramEnd"/>
      <w:r w:rsidRPr="00EA7E16">
        <w:rPr>
          <w:rFonts w:ascii="Arial" w:hAnsi="Arial" w:cs="Arial"/>
          <w:sz w:val="24"/>
        </w:rPr>
        <w:t xml:space="preserve"> também o casal não podem ser sócios ao mesmo tempo de um terceiro</w:t>
      </w:r>
    </w:p>
    <w:p w:rsidR="00B312FD" w:rsidRPr="00EA7E16" w:rsidRDefault="00B312FD" w:rsidP="00B312FD">
      <w:pPr>
        <w:jc w:val="both"/>
        <w:rPr>
          <w:rFonts w:ascii="Arial" w:hAnsi="Arial" w:cs="Arial"/>
          <w:sz w:val="24"/>
        </w:rPr>
      </w:pPr>
    </w:p>
    <w:p w:rsidR="00B312FD" w:rsidRPr="00EA7E16" w:rsidRDefault="00B312FD" w:rsidP="00B312FD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Comunhão total - não pode</w:t>
      </w:r>
    </w:p>
    <w:p w:rsidR="00B312FD" w:rsidRPr="00EA7E16" w:rsidRDefault="00B312FD" w:rsidP="00B312FD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Compunhão parcial - pode</w:t>
      </w:r>
    </w:p>
    <w:p w:rsidR="00B312FD" w:rsidRPr="00EA7E16" w:rsidRDefault="00B312FD" w:rsidP="00B312FD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Participação nos aquestros - pode</w:t>
      </w:r>
    </w:p>
    <w:p w:rsidR="00B312FD" w:rsidRPr="00EA7E16" w:rsidRDefault="00B312FD" w:rsidP="00B312FD">
      <w:pPr>
        <w:jc w:val="both"/>
        <w:rPr>
          <w:rFonts w:ascii="Arial" w:hAnsi="Arial" w:cs="Arial"/>
          <w:sz w:val="24"/>
        </w:rPr>
      </w:pPr>
    </w:p>
    <w:p w:rsidR="00B312FD" w:rsidRPr="00EA7E16" w:rsidRDefault="00B312FD" w:rsidP="00B312FD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Obrigatória - não pode</w:t>
      </w:r>
    </w:p>
    <w:p w:rsidR="00B312FD" w:rsidRDefault="00B312FD" w:rsidP="00B312FD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consensual - pode</w:t>
      </w:r>
    </w:p>
    <w:p w:rsidR="00B312FD" w:rsidRDefault="00B312FD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B312FD" w:rsidRDefault="00AA52A2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 mudança de regime de bens se autorizada pela justiça não retroage</w:t>
      </w:r>
    </w:p>
    <w:p w:rsidR="00AA52A2" w:rsidRDefault="00AA52A2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126455">
        <w:rPr>
          <w:rFonts w:ascii="Arial" w:hAnsi="Arial" w:cs="Arial"/>
          <w:sz w:val="24"/>
        </w:rPr>
        <w:t xml:space="preserve"> Irmãos (linha </w:t>
      </w:r>
      <w:proofErr w:type="gramStart"/>
      <w:r w:rsidR="00126455">
        <w:rPr>
          <w:rFonts w:ascii="Arial" w:hAnsi="Arial" w:cs="Arial"/>
          <w:sz w:val="24"/>
        </w:rPr>
        <w:t>colateral)  só</w:t>
      </w:r>
      <w:proofErr w:type="gramEnd"/>
      <w:r w:rsidR="00126455">
        <w:rPr>
          <w:rFonts w:ascii="Arial" w:hAnsi="Arial" w:cs="Arial"/>
          <w:sz w:val="24"/>
        </w:rPr>
        <w:t xml:space="preserve"> herdam se não tiver descendentes, ascendentes, cônjuge ou companheiro</w:t>
      </w:r>
    </w:p>
    <w:p w:rsidR="00126455" w:rsidRDefault="00126455" w:rsidP="0012645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126455" w:rsidRDefault="00126455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O direito real de uso é mais restrito, o cônjuge fica morando no imóvel, mas não pode fruir (receber devidendos) e não pode alienar.</w:t>
      </w:r>
    </w:p>
    <w:p w:rsidR="00126455" w:rsidRDefault="00126455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Já no usufruto o cônjuge pode usar, dispor, fruir</w:t>
      </w:r>
    </w:p>
    <w:p w:rsidR="00126455" w:rsidRDefault="00B017E4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927C6">
        <w:rPr>
          <w:rFonts w:ascii="Arial" w:hAnsi="Arial" w:cs="Arial"/>
          <w:sz w:val="24"/>
        </w:rPr>
        <w:t>No direito real de habitação o</w:t>
      </w:r>
      <w:r>
        <w:rPr>
          <w:rFonts w:ascii="Arial" w:hAnsi="Arial" w:cs="Arial"/>
          <w:sz w:val="24"/>
        </w:rPr>
        <w:t xml:space="preserve">s herdeiros podem vender a casa mais o comprador terá que esperar o falecimento </w:t>
      </w:r>
      <w:proofErr w:type="gramStart"/>
      <w:r>
        <w:rPr>
          <w:rFonts w:ascii="Arial" w:hAnsi="Arial" w:cs="Arial"/>
          <w:sz w:val="24"/>
        </w:rPr>
        <w:t>da cônjuge</w:t>
      </w:r>
      <w:proofErr w:type="gramEnd"/>
      <w:r>
        <w:rPr>
          <w:rFonts w:ascii="Arial" w:hAnsi="Arial" w:cs="Arial"/>
          <w:sz w:val="24"/>
        </w:rPr>
        <w:t xml:space="preserve"> para assumir o imóvel.</w:t>
      </w:r>
    </w:p>
    <w:p w:rsidR="00B017E4" w:rsidRDefault="008C5C4B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 cônjuge só pode usar o imóvel para morar, qualquer outra atividade ocasiona a perda do imóvel.</w:t>
      </w:r>
    </w:p>
    <w:p w:rsidR="008C5C4B" w:rsidRDefault="00BD59D1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 o cônjuge contrair novo casamento perde o direito real de propriedade.</w:t>
      </w:r>
    </w:p>
    <w:p w:rsidR="00BD59D1" w:rsidRDefault="00DD501A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 direito real de habitação vale tanto para o casamento quanto para união estável.</w:t>
      </w:r>
    </w:p>
    <w:p w:rsidR="00DD501A" w:rsidRDefault="002C7AE1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 - Sobre Execução – Código Civil/2002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Na execução de título </w:t>
      </w:r>
      <w:proofErr w:type="gramStart"/>
      <w:r w:rsidRPr="002C7AE1">
        <w:rPr>
          <w:rFonts w:ascii="Arial" w:hAnsi="Arial" w:cs="Arial"/>
          <w:sz w:val="24"/>
        </w:rPr>
        <w:t>extrajudicial,  o</w:t>
      </w:r>
      <w:proofErr w:type="gramEnd"/>
      <w:r w:rsidRPr="002C7AE1">
        <w:rPr>
          <w:rFonts w:ascii="Arial" w:hAnsi="Arial" w:cs="Arial"/>
          <w:sz w:val="24"/>
        </w:rPr>
        <w:t xml:space="preserve"> executado será citado para efetuar o pgto no prazo de 3 dias.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Esse prazo é material, se não pagar em 3 dias o comprovante de citação é juntado aos autos e começa o prazo de 15 dias para o executado opop os embargos à execução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- Se a execução for por título judicial (cumprimento de sentença), o 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O executado será intimado no prazo de 15 dias para efetuar o pgto.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Se não tiver adv constituido ou estiver pela defensoria pública no processo a intimação tem de ser pessoal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Se passar mais de 1 ano entre o trânsito em julgado e início da fase de execução tem de ser intimado pessoalmente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- </w:t>
      </w:r>
      <w:proofErr w:type="gramStart"/>
      <w:r w:rsidRPr="002C7AE1">
        <w:rPr>
          <w:rFonts w:ascii="Arial" w:hAnsi="Arial" w:cs="Arial"/>
          <w:sz w:val="24"/>
        </w:rPr>
        <w:t>só</w:t>
      </w:r>
      <w:proofErr w:type="gramEnd"/>
      <w:r w:rsidRPr="002C7AE1">
        <w:rPr>
          <w:rFonts w:ascii="Arial" w:hAnsi="Arial" w:cs="Arial"/>
          <w:sz w:val="24"/>
        </w:rPr>
        <w:t xml:space="preserve"> após esse procedimento que é possível pleitear o sisbajus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- Se o sisbjus bloquear algum valor o executado terá </w:t>
      </w:r>
      <w:proofErr w:type="gramStart"/>
      <w:r w:rsidRPr="002C7AE1">
        <w:rPr>
          <w:rFonts w:ascii="Arial" w:hAnsi="Arial" w:cs="Arial"/>
          <w:sz w:val="24"/>
        </w:rPr>
        <w:t>q</w:t>
      </w:r>
      <w:proofErr w:type="gramEnd"/>
      <w:r w:rsidRPr="002C7AE1">
        <w:rPr>
          <w:rFonts w:ascii="Arial" w:hAnsi="Arial" w:cs="Arial"/>
          <w:sz w:val="24"/>
        </w:rPr>
        <w:t xml:space="preserve"> ser intimado para em 5 dias se opor impugnação ao bloqueio sisbajus</w:t>
      </w:r>
    </w:p>
    <w:p w:rsidR="002C7AE1" w:rsidRP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Só pode alegar excesso no bloqueio ou que o valor é impenhorável</w:t>
      </w:r>
    </w:p>
    <w:p w:rsidR="002C7AE1" w:rsidRDefault="002C7AE1" w:rsidP="002C7AE1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Se a defesa ao bloqueio for indeferida haverá conversão do bloqueio e penhora e havera a interrupção do prazo da prescrição intercorrente</w:t>
      </w:r>
    </w:p>
    <w:p w:rsidR="00126455" w:rsidRDefault="00251799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251799" w:rsidRPr="00251799" w:rsidRDefault="00251799" w:rsidP="00251799">
      <w:pPr>
        <w:jc w:val="both"/>
        <w:rPr>
          <w:rFonts w:ascii="Arial" w:hAnsi="Arial" w:cs="Arial"/>
          <w:sz w:val="24"/>
        </w:rPr>
      </w:pPr>
      <w:r w:rsidRPr="00251799">
        <w:rPr>
          <w:rFonts w:ascii="Arial" w:hAnsi="Arial" w:cs="Arial"/>
          <w:sz w:val="24"/>
        </w:rPr>
        <w:t xml:space="preserve">Na falsidade ideológica o documento é verdadeiro, mas </w:t>
      </w:r>
      <w:r>
        <w:rPr>
          <w:rFonts w:ascii="Arial" w:hAnsi="Arial" w:cs="Arial"/>
          <w:sz w:val="24"/>
        </w:rPr>
        <w:t xml:space="preserve">é inserido alguma </w:t>
      </w:r>
      <w:r w:rsidRPr="00251799">
        <w:rPr>
          <w:rFonts w:ascii="Arial" w:hAnsi="Arial" w:cs="Arial"/>
          <w:sz w:val="24"/>
        </w:rPr>
        <w:t xml:space="preserve">informação </w:t>
      </w:r>
      <w:r>
        <w:rPr>
          <w:rFonts w:ascii="Arial" w:hAnsi="Arial" w:cs="Arial"/>
          <w:sz w:val="24"/>
        </w:rPr>
        <w:t>falsa;</w:t>
      </w:r>
    </w:p>
    <w:p w:rsidR="00251799" w:rsidRDefault="00251799" w:rsidP="00251799">
      <w:pPr>
        <w:jc w:val="both"/>
        <w:rPr>
          <w:rFonts w:ascii="Arial" w:hAnsi="Arial" w:cs="Arial"/>
          <w:sz w:val="24"/>
        </w:rPr>
      </w:pPr>
      <w:r w:rsidRPr="00251799">
        <w:rPr>
          <w:rFonts w:ascii="Arial" w:hAnsi="Arial" w:cs="Arial"/>
          <w:sz w:val="24"/>
        </w:rPr>
        <w:t>- Inserir informação falsa no curriculum lattes não é crime, pois o lattes não é documento com certificação digital (falta objeto material) - é uma conduta atipica</w:t>
      </w:r>
      <w:r w:rsidR="00EA60F9">
        <w:rPr>
          <w:rFonts w:ascii="Arial" w:hAnsi="Arial" w:cs="Arial"/>
          <w:sz w:val="24"/>
        </w:rPr>
        <w:t xml:space="preserve"> – jurisprudência do STJ.</w:t>
      </w:r>
    </w:p>
    <w:p w:rsidR="00B312FD" w:rsidRDefault="00343780" w:rsidP="00B312F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343780" w:rsidRDefault="00343780" w:rsidP="00343780">
      <w:pPr>
        <w:jc w:val="both"/>
        <w:rPr>
          <w:rFonts w:ascii="Arial" w:hAnsi="Arial" w:cs="Arial"/>
          <w:b/>
          <w:color w:val="0F0F0F"/>
          <w:sz w:val="21"/>
          <w:szCs w:val="21"/>
          <w:u w:val="single"/>
        </w:rPr>
      </w:pPr>
      <w:r>
        <w:rPr>
          <w:rFonts w:ascii="Arial" w:hAnsi="Arial" w:cs="Arial"/>
          <w:color w:val="0F0F0F"/>
          <w:sz w:val="21"/>
          <w:szCs w:val="21"/>
        </w:rPr>
        <w:t xml:space="preserve">- </w:t>
      </w:r>
      <w:r w:rsidRPr="00343780">
        <w:rPr>
          <w:rFonts w:ascii="Arial" w:hAnsi="Arial" w:cs="Arial"/>
          <w:b/>
          <w:color w:val="0F0F0F"/>
          <w:sz w:val="21"/>
          <w:szCs w:val="21"/>
          <w:u w:val="single"/>
        </w:rPr>
        <w:t>USUCAPIÃO CONJUGAL</w:t>
      </w:r>
      <w:r>
        <w:rPr>
          <w:rFonts w:ascii="Arial" w:hAnsi="Arial" w:cs="Arial"/>
          <w:b/>
          <w:color w:val="0F0F0F"/>
          <w:sz w:val="21"/>
          <w:szCs w:val="21"/>
          <w:u w:val="single"/>
        </w:rPr>
        <w:t>:</w:t>
      </w:r>
    </w:p>
    <w:p w:rsidR="00343780" w:rsidRDefault="00343780" w:rsidP="00343780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 xml:space="preserve">Previsto no art. 1.240-A do Código Civil: </w:t>
      </w:r>
    </w:p>
    <w:p w:rsidR="00343780" w:rsidRDefault="00343780" w:rsidP="00343780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>Aquele que exercer, por 2 (dois) anos ininterruptamente e sem oposição, posse direta, com exclusividade, sobre imóvel urbano de até 250m² (duzentos e cinquenta metros quadrados) cuja propriedade divida com ex-cônjuge ou ex-companheiro que abandonou o lar, utilizando-o para sua moradia ou de sua família, adquirir-lhe-á o domínio integral, desde que não seja proprietário de outro imóvel urbano ou rural.</w:t>
      </w:r>
    </w:p>
    <w:p w:rsidR="00343780" w:rsidRDefault="00D949EF" w:rsidP="00343780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>A</w:t>
      </w:r>
      <w:r w:rsidR="00343780">
        <w:rPr>
          <w:rFonts w:ascii="Arial" w:hAnsi="Arial" w:cs="Arial"/>
          <w:color w:val="0F0F0F"/>
          <w:sz w:val="21"/>
          <w:szCs w:val="21"/>
        </w:rPr>
        <w:t>rt. 35-A da Lei 11.977/09</w:t>
      </w:r>
      <w:r>
        <w:rPr>
          <w:rFonts w:ascii="Arial" w:hAnsi="Arial" w:cs="Arial"/>
          <w:color w:val="0F0F0F"/>
          <w:sz w:val="21"/>
          <w:szCs w:val="21"/>
        </w:rPr>
        <w:t xml:space="preserve"> (</w:t>
      </w:r>
      <w:r>
        <w:rPr>
          <w:rFonts w:ascii="Arial" w:hAnsi="Arial" w:cs="Arial"/>
          <w:color w:val="800000"/>
        </w:rPr>
        <w:t>Programa Minha Casa, Minha Vida – PMCMV</w:t>
      </w:r>
      <w:r>
        <w:rPr>
          <w:rFonts w:ascii="Arial" w:hAnsi="Arial" w:cs="Arial"/>
          <w:color w:val="0F0F0F"/>
          <w:sz w:val="21"/>
          <w:szCs w:val="21"/>
        </w:rPr>
        <w:t>)</w:t>
      </w:r>
      <w:r w:rsidR="00343780">
        <w:rPr>
          <w:rFonts w:ascii="Arial" w:hAnsi="Arial" w:cs="Arial"/>
          <w:color w:val="0F0F0F"/>
          <w:sz w:val="21"/>
          <w:szCs w:val="21"/>
        </w:rPr>
        <w:t xml:space="preserve">: Nas hipóteses de dissolução de união estável, separação ou divórcio, o título de propriedade do imóvel adquirido no âmbito do PMCMV, na constância do casamento ou da união estável, com subvenções oriundas de recursos do orçamento geral da União, do FAR e do </w:t>
      </w:r>
      <w:r w:rsidR="00343780">
        <w:rPr>
          <w:rFonts w:ascii="Arial" w:hAnsi="Arial" w:cs="Arial"/>
          <w:color w:val="0F0F0F"/>
          <w:sz w:val="21"/>
          <w:szCs w:val="21"/>
        </w:rPr>
        <w:lastRenderedPageBreak/>
        <w:t xml:space="preserve">FDS, será registrado em nome da mulher ou a ela transferido, independentemente do regime de bens aplicável, excetuados os casos que envolvam recursos do FGTS. </w:t>
      </w:r>
    </w:p>
    <w:p w:rsidR="00343780" w:rsidRDefault="00343780" w:rsidP="00343780">
      <w:pPr>
        <w:jc w:val="both"/>
        <w:rPr>
          <w:rFonts w:ascii="Arial" w:hAnsi="Arial" w:cs="Arial"/>
          <w:color w:val="0F0F0F"/>
          <w:sz w:val="21"/>
          <w:szCs w:val="21"/>
        </w:rPr>
      </w:pPr>
      <w:r w:rsidRPr="00343780">
        <w:rPr>
          <w:rFonts w:ascii="Arial" w:hAnsi="Arial" w:cs="Arial"/>
          <w:b/>
          <w:color w:val="0F0F0F"/>
          <w:sz w:val="21"/>
          <w:szCs w:val="21"/>
        </w:rPr>
        <w:t>NO USUCAPIÃO CONJUGAL,</w:t>
      </w:r>
      <w:r>
        <w:rPr>
          <w:rFonts w:ascii="Arial" w:hAnsi="Arial" w:cs="Arial"/>
          <w:color w:val="0F0F0F"/>
          <w:sz w:val="21"/>
          <w:szCs w:val="21"/>
        </w:rPr>
        <w:t xml:space="preserve"> o cônjuge ou companheiro pode ser prejudicado por tentar ajudar o outro membro da relação. Ele poderá perder o imóvel caso permaneça dois anos afastado do lar. Isso contraria a natureza e a lógica do Usucapião, pois ele prejudica o companheiro que tiver tentando ser cooperativo com o outro. Já a Lei 11.977/09 é a lei que regula o Programa Minha Casa Minha Vida. Caso haja uma separação, o imóvel ficará com a mulher, independente do regime de bens.</w:t>
      </w:r>
    </w:p>
    <w:p w:rsidR="00654E6E" w:rsidRDefault="00654E6E" w:rsidP="00654E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654E6E" w:rsidRDefault="00654E6E" w:rsidP="00343780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 xml:space="preserve">No estelionato (171 do CP), é </w:t>
      </w:r>
      <w:r w:rsidR="00613271">
        <w:rPr>
          <w:rFonts w:ascii="Arial" w:hAnsi="Arial" w:cs="Arial"/>
          <w:color w:val="0F0F0F"/>
          <w:sz w:val="21"/>
          <w:szCs w:val="21"/>
        </w:rPr>
        <w:t xml:space="preserve">de ação pública </w:t>
      </w:r>
      <w:r>
        <w:rPr>
          <w:rFonts w:ascii="Arial" w:hAnsi="Arial" w:cs="Arial"/>
          <w:color w:val="0F0F0F"/>
          <w:sz w:val="21"/>
          <w:szCs w:val="21"/>
        </w:rPr>
        <w:t>condicionado a representação da vítima, no prazo decadencial de 6 meses.</w:t>
      </w:r>
    </w:p>
    <w:p w:rsidR="00613271" w:rsidRDefault="00613271" w:rsidP="00343780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>No furto mediante fraude (155 do CP), e de ação pública incondicionada</w:t>
      </w:r>
    </w:p>
    <w:p w:rsidR="00B73AF5" w:rsidRDefault="00B73AF5" w:rsidP="00B73AF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623C64" w:rsidRDefault="00B73AF5" w:rsidP="00B73AF5">
      <w:pPr>
        <w:jc w:val="both"/>
        <w:rPr>
          <w:rFonts w:ascii="Arial" w:hAnsi="Arial" w:cs="Arial"/>
          <w:color w:val="0F0F0F"/>
          <w:sz w:val="21"/>
          <w:szCs w:val="21"/>
        </w:rPr>
      </w:pPr>
      <w:r w:rsidRPr="00623C64">
        <w:rPr>
          <w:rFonts w:ascii="Arial" w:hAnsi="Arial" w:cs="Arial"/>
          <w:b/>
          <w:color w:val="0F0F0F"/>
          <w:sz w:val="21"/>
          <w:szCs w:val="21"/>
        </w:rPr>
        <w:t>Art. 312-CPP -</w:t>
      </w:r>
      <w:r w:rsidRPr="00B73AF5">
        <w:rPr>
          <w:rFonts w:ascii="Arial" w:hAnsi="Arial" w:cs="Arial"/>
          <w:color w:val="0F0F0F"/>
          <w:sz w:val="21"/>
          <w:szCs w:val="21"/>
        </w:rPr>
        <w:t xml:space="preserve"> Na prisão preventiva</w:t>
      </w:r>
      <w:r w:rsidR="00623C64">
        <w:rPr>
          <w:rFonts w:ascii="Arial" w:hAnsi="Arial" w:cs="Arial"/>
          <w:color w:val="0F0F0F"/>
          <w:sz w:val="21"/>
          <w:szCs w:val="21"/>
        </w:rPr>
        <w:t>:</w:t>
      </w:r>
    </w:p>
    <w:p w:rsidR="00B73AF5" w:rsidRPr="00B73AF5" w:rsidRDefault="00623C64" w:rsidP="00B73AF5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>- D</w:t>
      </w:r>
      <w:r w:rsidR="00B73AF5" w:rsidRPr="00B73AF5">
        <w:rPr>
          <w:rFonts w:ascii="Arial" w:hAnsi="Arial" w:cs="Arial"/>
          <w:color w:val="0F0F0F"/>
          <w:sz w:val="21"/>
          <w:szCs w:val="21"/>
        </w:rPr>
        <w:t>eve haver prova da existência do crime e não apenas suspeita;</w:t>
      </w:r>
    </w:p>
    <w:p w:rsidR="00B73AF5" w:rsidRPr="00B73AF5" w:rsidRDefault="00623C64" w:rsidP="00B73AF5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 xml:space="preserve">- </w:t>
      </w:r>
      <w:r w:rsidR="00B73AF5" w:rsidRPr="00B73AF5">
        <w:rPr>
          <w:rFonts w:ascii="Arial" w:hAnsi="Arial" w:cs="Arial"/>
          <w:color w:val="0F0F0F"/>
          <w:sz w:val="21"/>
          <w:szCs w:val="21"/>
        </w:rPr>
        <w:t>Tem de haver indício suficiente da autoria;</w:t>
      </w:r>
    </w:p>
    <w:p w:rsidR="00613271" w:rsidRDefault="00623C64" w:rsidP="00B73AF5">
      <w:pPr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 xml:space="preserve"> - </w:t>
      </w:r>
      <w:r w:rsidR="00B73AF5" w:rsidRPr="00B73AF5">
        <w:rPr>
          <w:rFonts w:ascii="Arial" w:hAnsi="Arial" w:cs="Arial"/>
          <w:color w:val="0F0F0F"/>
          <w:sz w:val="21"/>
          <w:szCs w:val="21"/>
        </w:rPr>
        <w:t>Deve haver perigo gerado pelo estado de liberdade do imputado.</w:t>
      </w:r>
    </w:p>
    <w:p w:rsidR="00623C64" w:rsidRPr="00623C64" w:rsidRDefault="00B73AF5" w:rsidP="00B73AF5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623C64" w:rsidRDefault="00623C64" w:rsidP="00B73AF5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 xml:space="preserve">Prisão preventiva só pode ser decretada a pedido do MP ou da autoridade policial, durante a </w:t>
      </w:r>
      <w:r>
        <w:rPr>
          <w:rFonts w:ascii="Arial" w:hAnsi="Arial" w:cs="Arial"/>
          <w:sz w:val="20"/>
          <w:szCs w:val="18"/>
        </w:rPr>
        <w:t>investigação criminal ou durant</w:t>
      </w:r>
      <w:r w:rsidRPr="00623C64">
        <w:rPr>
          <w:rFonts w:ascii="Arial" w:hAnsi="Arial" w:cs="Arial"/>
          <w:sz w:val="20"/>
          <w:szCs w:val="18"/>
        </w:rPr>
        <w:t>e a instrução processual</w:t>
      </w:r>
      <w:r>
        <w:rPr>
          <w:rFonts w:ascii="Arial" w:hAnsi="Arial" w:cs="Arial"/>
          <w:sz w:val="20"/>
          <w:szCs w:val="18"/>
        </w:rPr>
        <w:t xml:space="preserve"> – pelo juiz NUNCAAA...</w:t>
      </w:r>
      <w:r w:rsidR="00A2761C">
        <w:rPr>
          <w:rFonts w:ascii="Arial" w:hAnsi="Arial" w:cs="Arial"/>
          <w:sz w:val="20"/>
          <w:szCs w:val="18"/>
        </w:rPr>
        <w:t>poownn...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lastRenderedPageBreak/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lastRenderedPageBreak/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Pr="00623C64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</w:p>
    <w:p w:rsidR="00FD4E9D" w:rsidRDefault="00FD4E9D" w:rsidP="00FD4E9D">
      <w:pPr>
        <w:jc w:val="both"/>
        <w:rPr>
          <w:rFonts w:ascii="Arial" w:hAnsi="Arial" w:cs="Arial"/>
          <w:sz w:val="20"/>
          <w:szCs w:val="18"/>
        </w:rPr>
      </w:pPr>
      <w:r w:rsidRPr="00623C64">
        <w:rPr>
          <w:rFonts w:ascii="Arial" w:hAnsi="Arial" w:cs="Arial"/>
          <w:sz w:val="20"/>
          <w:szCs w:val="18"/>
        </w:rPr>
        <w:t>--//--//--</w:t>
      </w:r>
      <w:r w:rsidR="00FF4398">
        <w:rPr>
          <w:rFonts w:ascii="Arial" w:hAnsi="Arial" w:cs="Arial"/>
          <w:sz w:val="20"/>
          <w:szCs w:val="18"/>
        </w:rPr>
        <w:t>Holding</w:t>
      </w:r>
      <w:r w:rsidR="008520D3">
        <w:rPr>
          <w:rFonts w:ascii="Arial" w:hAnsi="Arial" w:cs="Arial"/>
          <w:sz w:val="20"/>
          <w:szCs w:val="18"/>
        </w:rPr>
        <w:t xml:space="preserve"> = participações societárias</w:t>
      </w:r>
    </w:p>
    <w:p w:rsidR="00FF4398" w:rsidRDefault="00FF4398" w:rsidP="00FF4398">
      <w:pPr>
        <w:pStyle w:val="NormalWeb"/>
        <w:shd w:val="clear" w:color="auto" w:fill="FFFFFF"/>
        <w:ind w:firstLine="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Art. 1.053. A sociedade limitada rege-se, nas omissões deste Capítulo, pelas normas da sociedade simples.</w:t>
      </w:r>
    </w:p>
    <w:p w:rsidR="00FF4398" w:rsidRDefault="00FF4398" w:rsidP="00FF4398">
      <w:pPr>
        <w:pStyle w:val="NormalWeb"/>
        <w:shd w:val="clear" w:color="auto" w:fill="FFFFFF"/>
        <w:ind w:firstLine="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Parágrafo único. O contrato social poderá prever a regência supletiva da sociedade limitada pelas normas da sociedade anônima.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01686D" w:rsidRDefault="0001686D" w:rsidP="000168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Lei </w:t>
      </w:r>
      <w:r w:rsidRPr="0001686D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.404/1976 – Lei S/A:</w:t>
      </w:r>
    </w:p>
    <w:p w:rsidR="0001686D" w:rsidRDefault="0001686D" w:rsidP="0001686D">
      <w:pPr>
        <w:pStyle w:val="NormalWeb"/>
        <w:shd w:val="clear" w:color="auto" w:fill="FFFFFF"/>
        <w:ind w:firstLine="5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2º Pode ser objeto da companhia qualquer empresa de fim lucrativo, não contrário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Arial" w:hAnsi="Arial" w:cs="Arial"/>
          <w:color w:val="000000"/>
        </w:rPr>
        <w:t xml:space="preserve"> lei, à ordem pública e aos bons costumes.</w:t>
      </w:r>
    </w:p>
    <w:p w:rsidR="0001686D" w:rsidRDefault="0001686D" w:rsidP="0001686D">
      <w:pPr>
        <w:pStyle w:val="NormalWeb"/>
        <w:shd w:val="clear" w:color="auto" w:fill="FFFFFF"/>
        <w:ind w:firstLine="525"/>
        <w:rPr>
          <w:rFonts w:ascii="Arial" w:hAnsi="Arial" w:cs="Arial"/>
          <w:color w:val="000000"/>
        </w:rPr>
      </w:pPr>
      <w:bookmarkStart w:id="1" w:name="art2§1"/>
      <w:bookmarkStart w:id="2" w:name="art2§3"/>
      <w:bookmarkEnd w:id="1"/>
      <w:bookmarkEnd w:id="2"/>
      <w:r>
        <w:rPr>
          <w:rFonts w:ascii="Arial" w:hAnsi="Arial" w:cs="Arial"/>
          <w:color w:val="000000"/>
        </w:rPr>
        <w:t>... § 3º A companhia pode ter por objeto participar de outras sociedades; ainda que não prevista no estatuto, a participação é facultada como meio de realizar o objeto social, ou para beneficiar-se de incentivos fiscais.</w:t>
      </w:r>
    </w:p>
    <w:p w:rsidR="0001686D" w:rsidRDefault="0001686D" w:rsidP="000168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A67103">
        <w:rPr>
          <w:rFonts w:ascii="Arial" w:hAnsi="Arial" w:cs="Arial"/>
          <w:sz w:val="24"/>
        </w:rPr>
        <w:t>Art. 978 CC - O empresário casado pode, sem necessidade de outorga conjugal, qualquer que seja o regime de bens, alienar os imóveis que integrem o patrimônio da empresa ou gravá-los de ônus real.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Para o empresário individual o art. 978 do CC só se aplica se for averbado na matrícula do imóvel a autorização uxória da esposa para se desfazer de imóvel.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EA7E16">
        <w:rPr>
          <w:rFonts w:ascii="Arial" w:hAnsi="Arial" w:cs="Arial"/>
          <w:sz w:val="24"/>
        </w:rPr>
        <w:t xml:space="preserve">Art. 977 - não pode ser </w:t>
      </w:r>
      <w:proofErr w:type="gramStart"/>
      <w:r w:rsidRPr="00EA7E16">
        <w:rPr>
          <w:rFonts w:ascii="Arial" w:hAnsi="Arial" w:cs="Arial"/>
          <w:sz w:val="24"/>
        </w:rPr>
        <w:t>sócios</w:t>
      </w:r>
      <w:proofErr w:type="gramEnd"/>
      <w:r w:rsidRPr="00EA7E16">
        <w:rPr>
          <w:rFonts w:ascii="Arial" w:hAnsi="Arial" w:cs="Arial"/>
          <w:sz w:val="24"/>
        </w:rPr>
        <w:t>, o casal no regime:</w:t>
      </w:r>
      <w:r>
        <w:rPr>
          <w:rFonts w:ascii="Arial" w:hAnsi="Arial" w:cs="Arial"/>
          <w:sz w:val="24"/>
        </w:rPr>
        <w:t xml:space="preserve"> 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proofErr w:type="gramStart"/>
      <w:r w:rsidRPr="00EA7E16">
        <w:rPr>
          <w:rFonts w:ascii="Arial" w:hAnsi="Arial" w:cs="Arial"/>
          <w:sz w:val="24"/>
        </w:rPr>
        <w:t>e</w:t>
      </w:r>
      <w:proofErr w:type="gramEnd"/>
      <w:r w:rsidRPr="00EA7E16">
        <w:rPr>
          <w:rFonts w:ascii="Arial" w:hAnsi="Arial" w:cs="Arial"/>
          <w:sz w:val="24"/>
        </w:rPr>
        <w:t xml:space="preserve"> também o casal não podem ser sócios ao mesmo tempo de um terceiro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Comunhão total - não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Compunhão parcial -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Participação nos aquestros -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Obrigatória - não pode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consensual - pode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0A03F2" w:rsidRDefault="007B216B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 atividade da Holding não precisa estar escrita no estatuto/contrato social</w:t>
      </w:r>
    </w:p>
    <w:p w:rsidR="007B216B" w:rsidRDefault="007B216B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 CNAE pode ser qualquer um</w:t>
      </w:r>
      <w:r w:rsidR="00EE1EEB">
        <w:rPr>
          <w:rFonts w:ascii="Arial" w:hAnsi="Arial" w:cs="Arial"/>
          <w:sz w:val="24"/>
        </w:rPr>
        <w:t>/pode criar a empresa com CNAE outros</w:t>
      </w:r>
    </w:p>
    <w:p w:rsidR="008520D3" w:rsidRDefault="008520D3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CNAE de Holding 6462-0/00</w:t>
      </w:r>
    </w:p>
    <w:p w:rsidR="007B216B" w:rsidRDefault="007B216B" w:rsidP="007B21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7B216B" w:rsidRDefault="007B216B" w:rsidP="000A03F2">
      <w:pPr>
        <w:jc w:val="both"/>
        <w:rPr>
          <w:rFonts w:ascii="Arial" w:hAnsi="Arial" w:cs="Arial"/>
          <w:sz w:val="24"/>
        </w:rPr>
      </w:pPr>
    </w:p>
    <w:p w:rsidR="007B216B" w:rsidRDefault="007B216B" w:rsidP="000A03F2">
      <w:pPr>
        <w:jc w:val="both"/>
        <w:rPr>
          <w:rFonts w:ascii="Arial" w:hAnsi="Arial" w:cs="Arial"/>
          <w:sz w:val="24"/>
        </w:rPr>
      </w:pPr>
    </w:p>
    <w:p w:rsidR="000A03F2" w:rsidRPr="00B312FD" w:rsidRDefault="000A03F2" w:rsidP="000A03F2">
      <w:pPr>
        <w:jc w:val="both"/>
        <w:rPr>
          <w:rFonts w:ascii="Arial" w:hAnsi="Arial" w:cs="Arial"/>
          <w:b/>
          <w:sz w:val="24"/>
          <w:u w:val="single"/>
        </w:rPr>
      </w:pPr>
      <w:r w:rsidRPr="00B312FD">
        <w:rPr>
          <w:rFonts w:ascii="Arial" w:hAnsi="Arial" w:cs="Arial"/>
          <w:b/>
          <w:sz w:val="24"/>
          <w:u w:val="single"/>
        </w:rPr>
        <w:t>REGIME SEPARAÇÃO OBRIGATÓRIA DE BENS – ART. 1687 E SEGUINTES CC/2002</w:t>
      </w: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Quem casa com menos de 18 anos</w:t>
      </w: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 xml:space="preserve">- </w:t>
      </w:r>
      <w:proofErr w:type="gramStart"/>
      <w:r w:rsidRPr="00B312FD">
        <w:rPr>
          <w:rFonts w:ascii="Arial" w:hAnsi="Arial" w:cs="Arial"/>
          <w:sz w:val="24"/>
        </w:rPr>
        <w:t>pessoas</w:t>
      </w:r>
      <w:proofErr w:type="gramEnd"/>
      <w:r w:rsidRPr="00B312FD">
        <w:rPr>
          <w:rFonts w:ascii="Arial" w:hAnsi="Arial" w:cs="Arial"/>
          <w:sz w:val="24"/>
        </w:rPr>
        <w:t xml:space="preserve"> com mais de 70 anos</w:t>
      </w: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Se o inventário do casamento anterior ainda não foi finalizado</w:t>
      </w: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Se o casamento se deu logo após a viuvês de uma das partes,</w:t>
      </w: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  <w:proofErr w:type="gramStart"/>
      <w:r w:rsidRPr="00B312FD">
        <w:rPr>
          <w:rFonts w:ascii="Arial" w:hAnsi="Arial" w:cs="Arial"/>
          <w:sz w:val="24"/>
        </w:rPr>
        <w:t>se</w:t>
      </w:r>
      <w:proofErr w:type="gramEnd"/>
      <w:r w:rsidRPr="00B312FD">
        <w:rPr>
          <w:rFonts w:ascii="Arial" w:hAnsi="Arial" w:cs="Arial"/>
          <w:sz w:val="24"/>
        </w:rPr>
        <w:t xml:space="preserve"> a partilha ainda não foi feita</w:t>
      </w: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B312FD" w:rsidRDefault="000A03F2" w:rsidP="000A03F2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>- Idoso com mais de 70 anos não pode modificar o regime de bens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B312FD">
        <w:rPr>
          <w:rFonts w:ascii="Arial" w:hAnsi="Arial" w:cs="Arial"/>
          <w:sz w:val="24"/>
        </w:rPr>
        <w:t xml:space="preserve">- O menor assim </w:t>
      </w:r>
      <w:proofErr w:type="gramStart"/>
      <w:r w:rsidRPr="00B312FD">
        <w:rPr>
          <w:rFonts w:ascii="Arial" w:hAnsi="Arial" w:cs="Arial"/>
          <w:sz w:val="24"/>
        </w:rPr>
        <w:t>q</w:t>
      </w:r>
      <w:proofErr w:type="gramEnd"/>
      <w:r w:rsidRPr="00B312FD">
        <w:rPr>
          <w:rFonts w:ascii="Arial" w:hAnsi="Arial" w:cs="Arial"/>
          <w:sz w:val="24"/>
        </w:rPr>
        <w:t xml:space="preserve"> fizer 18 anos pode modificar o regime de bens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A67103">
        <w:rPr>
          <w:rFonts w:ascii="Arial" w:hAnsi="Arial" w:cs="Arial"/>
          <w:sz w:val="24"/>
        </w:rPr>
        <w:t>Art. 978 CC - O empresário casado pode, sem necessidade de outorga conjugal, qualquer que seja o regime de bens, alienar os imóveis que integrem o patrimônio da empresa ou gravá-los de ônus real.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Para o empresário individual o art. 978 do CC só se aplica se for averbado na matrícula do imóvel a autorização uxória da esposa para se desfazer de imóvel.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EA7E16">
        <w:rPr>
          <w:rFonts w:ascii="Arial" w:hAnsi="Arial" w:cs="Arial"/>
          <w:sz w:val="24"/>
        </w:rPr>
        <w:t xml:space="preserve">Art. 977 - não pode ser </w:t>
      </w:r>
      <w:proofErr w:type="gramStart"/>
      <w:r w:rsidRPr="00EA7E16">
        <w:rPr>
          <w:rFonts w:ascii="Arial" w:hAnsi="Arial" w:cs="Arial"/>
          <w:sz w:val="24"/>
        </w:rPr>
        <w:t>sócios</w:t>
      </w:r>
      <w:proofErr w:type="gramEnd"/>
      <w:r w:rsidRPr="00EA7E16">
        <w:rPr>
          <w:rFonts w:ascii="Arial" w:hAnsi="Arial" w:cs="Arial"/>
          <w:sz w:val="24"/>
        </w:rPr>
        <w:t>, o casal no regime:</w:t>
      </w:r>
      <w:r>
        <w:rPr>
          <w:rFonts w:ascii="Arial" w:hAnsi="Arial" w:cs="Arial"/>
          <w:sz w:val="24"/>
        </w:rPr>
        <w:t xml:space="preserve"> 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proofErr w:type="gramStart"/>
      <w:r w:rsidRPr="00EA7E16">
        <w:rPr>
          <w:rFonts w:ascii="Arial" w:hAnsi="Arial" w:cs="Arial"/>
          <w:sz w:val="24"/>
        </w:rPr>
        <w:t>e</w:t>
      </w:r>
      <w:proofErr w:type="gramEnd"/>
      <w:r w:rsidRPr="00EA7E16">
        <w:rPr>
          <w:rFonts w:ascii="Arial" w:hAnsi="Arial" w:cs="Arial"/>
          <w:sz w:val="24"/>
        </w:rPr>
        <w:t xml:space="preserve"> também o casal não podem ser sócios ao mesmo tempo de um terceiro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Comunhão total - não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Compunhão parcial -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Participação nos aquestros - pode</w:t>
      </w: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EA7E16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Obrigatória - não pode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EA7E16">
        <w:rPr>
          <w:rFonts w:ascii="Arial" w:hAnsi="Arial" w:cs="Arial"/>
          <w:sz w:val="24"/>
        </w:rPr>
        <w:t>- Separação Total consensual - pode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 mudança de regime de bens se autorizada pela justiça não retroage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Irmãos (linha </w:t>
      </w:r>
      <w:proofErr w:type="gramStart"/>
      <w:r>
        <w:rPr>
          <w:rFonts w:ascii="Arial" w:hAnsi="Arial" w:cs="Arial"/>
          <w:sz w:val="24"/>
        </w:rPr>
        <w:t>colateral)  só</w:t>
      </w:r>
      <w:proofErr w:type="gramEnd"/>
      <w:r>
        <w:rPr>
          <w:rFonts w:ascii="Arial" w:hAnsi="Arial" w:cs="Arial"/>
          <w:sz w:val="24"/>
        </w:rPr>
        <w:t xml:space="preserve"> herdam se não tiver descendentes, ascendentes, cônjuge ou companheiro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 direito real de uso é mais restrito, o cônjuge fica morando no imóvel, mas não pode fruir (receber devidendos) e não pode alienar.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Já no usufruto o cônjuge pode usar, dispor, fruir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No direito real de habitação os herdeiros podem vender a casa mais o comprador terá que esperar o falecimento </w:t>
      </w:r>
      <w:proofErr w:type="gramStart"/>
      <w:r>
        <w:rPr>
          <w:rFonts w:ascii="Arial" w:hAnsi="Arial" w:cs="Arial"/>
          <w:sz w:val="24"/>
        </w:rPr>
        <w:t>da cônjuge</w:t>
      </w:r>
      <w:proofErr w:type="gramEnd"/>
      <w:r>
        <w:rPr>
          <w:rFonts w:ascii="Arial" w:hAnsi="Arial" w:cs="Arial"/>
          <w:sz w:val="24"/>
        </w:rPr>
        <w:t xml:space="preserve"> para assumir o imóvel.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O cônjuge só pode usar o imóvel para morar, qualquer outra atividade ocasiona a perda do imóvel.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 o cônjuge contrair novo casamento perde o direito real de propriedade.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 direito real de habitação vale tanto para o casamento quanto para união estável.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 - Sobre Execução – Código Civil/2002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Na execução de título </w:t>
      </w:r>
      <w:proofErr w:type="gramStart"/>
      <w:r w:rsidRPr="002C7AE1">
        <w:rPr>
          <w:rFonts w:ascii="Arial" w:hAnsi="Arial" w:cs="Arial"/>
          <w:sz w:val="24"/>
        </w:rPr>
        <w:t>extrajudicial,  o</w:t>
      </w:r>
      <w:proofErr w:type="gramEnd"/>
      <w:r w:rsidRPr="002C7AE1">
        <w:rPr>
          <w:rFonts w:ascii="Arial" w:hAnsi="Arial" w:cs="Arial"/>
          <w:sz w:val="24"/>
        </w:rPr>
        <w:t xml:space="preserve"> executado será citado para efetuar o pgto no prazo de 3 dias.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Esse prazo é material, se não pagar em 3 dias o comprovante de citação é juntado aos autos e começa o prazo de 15 dias para o executado opop os embargos à execução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- Se a execução for por título judicial (cumprimento de sentença), o 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O executado será intimado no prazo de 15 dias para efetuar o pgto.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Se não tiver adv constituido ou estiver pela defensoria pública no processo a intimação tem de ser pessoal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Se passar mais de 1 ano entre o trânsito em julgado e início da fase de execução tem de ser intimado pessoalmente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- </w:t>
      </w:r>
      <w:proofErr w:type="gramStart"/>
      <w:r w:rsidRPr="002C7AE1">
        <w:rPr>
          <w:rFonts w:ascii="Arial" w:hAnsi="Arial" w:cs="Arial"/>
          <w:sz w:val="24"/>
        </w:rPr>
        <w:t>só</w:t>
      </w:r>
      <w:proofErr w:type="gramEnd"/>
      <w:r w:rsidRPr="002C7AE1">
        <w:rPr>
          <w:rFonts w:ascii="Arial" w:hAnsi="Arial" w:cs="Arial"/>
          <w:sz w:val="24"/>
        </w:rPr>
        <w:t xml:space="preserve"> após esse procedimento que é possível pleitear o sisbajus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 xml:space="preserve">- Se o sisbjus bloquear algum valor o executado terá </w:t>
      </w:r>
      <w:proofErr w:type="gramStart"/>
      <w:r w:rsidRPr="002C7AE1">
        <w:rPr>
          <w:rFonts w:ascii="Arial" w:hAnsi="Arial" w:cs="Arial"/>
          <w:sz w:val="24"/>
        </w:rPr>
        <w:t>q</w:t>
      </w:r>
      <w:proofErr w:type="gramEnd"/>
      <w:r w:rsidRPr="002C7AE1">
        <w:rPr>
          <w:rFonts w:ascii="Arial" w:hAnsi="Arial" w:cs="Arial"/>
          <w:sz w:val="24"/>
        </w:rPr>
        <w:t xml:space="preserve"> ser intimado para em 5 dias se opor impugnação ao bloqueio sisbajus</w:t>
      </w:r>
    </w:p>
    <w:p w:rsidR="000A03F2" w:rsidRPr="002C7AE1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Só pode alegar excesso no bloqueio ou que o valor é impenhorável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 w:rsidRPr="002C7AE1">
        <w:rPr>
          <w:rFonts w:ascii="Arial" w:hAnsi="Arial" w:cs="Arial"/>
          <w:sz w:val="24"/>
        </w:rPr>
        <w:t>- Se a defesa ao bloqueio for indeferida haverá conversão do bloqueio e penhora e havera a interrupção do prazo da prescrição intercorrente</w:t>
      </w:r>
    </w:p>
    <w:p w:rsidR="000A03F2" w:rsidRDefault="000A03F2" w:rsidP="000A0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D766A0" w:rsidRPr="00623C64" w:rsidRDefault="00D766A0" w:rsidP="00D766A0">
      <w:pPr>
        <w:jc w:val="both"/>
        <w:rPr>
          <w:rFonts w:ascii="Arial" w:hAnsi="Arial" w:cs="Arial"/>
          <w:sz w:val="20"/>
          <w:szCs w:val="18"/>
        </w:rPr>
      </w:pPr>
      <w:r w:rsidRPr="00D766A0">
        <w:rPr>
          <w:rFonts w:ascii="Arial" w:hAnsi="Arial" w:cs="Arial"/>
          <w:sz w:val="20"/>
          <w:szCs w:val="18"/>
        </w:rPr>
        <w:t>Art. 142 do RIR (Dec. 9580/18)</w:t>
      </w:r>
    </w:p>
    <w:p w:rsidR="00D766A0" w:rsidRPr="00D766A0" w:rsidRDefault="00D766A0" w:rsidP="00D766A0">
      <w:pPr>
        <w:jc w:val="both"/>
        <w:rPr>
          <w:rFonts w:ascii="Arial" w:hAnsi="Arial" w:cs="Arial"/>
          <w:sz w:val="20"/>
          <w:szCs w:val="18"/>
        </w:rPr>
      </w:pPr>
      <w:r w:rsidRPr="00D766A0">
        <w:rPr>
          <w:rFonts w:ascii="Arial" w:hAnsi="Arial" w:cs="Arial"/>
          <w:sz w:val="20"/>
          <w:szCs w:val="18"/>
        </w:rPr>
        <w:t xml:space="preserve">Se a integralização do capital social for </w:t>
      </w:r>
      <w:r w:rsidR="006D7BE0">
        <w:rPr>
          <w:rFonts w:ascii="Arial" w:hAnsi="Arial" w:cs="Arial"/>
          <w:sz w:val="20"/>
          <w:szCs w:val="18"/>
        </w:rPr>
        <w:t xml:space="preserve">feita por bens e valores declarado no </w:t>
      </w:r>
      <w:r w:rsidRPr="00D766A0">
        <w:rPr>
          <w:rFonts w:ascii="Arial" w:hAnsi="Arial" w:cs="Arial"/>
          <w:sz w:val="20"/>
          <w:szCs w:val="18"/>
        </w:rPr>
        <w:t>imposto renda da pessoa física</w:t>
      </w:r>
      <w:r w:rsidR="006D7BE0">
        <w:rPr>
          <w:rFonts w:ascii="Arial" w:hAnsi="Arial" w:cs="Arial"/>
          <w:sz w:val="20"/>
          <w:szCs w:val="18"/>
        </w:rPr>
        <w:t xml:space="preserve"> ou pelo valro de mercado,</w:t>
      </w:r>
      <w:r w:rsidRPr="00D766A0">
        <w:rPr>
          <w:rFonts w:ascii="Arial" w:hAnsi="Arial" w:cs="Arial"/>
          <w:sz w:val="20"/>
          <w:szCs w:val="18"/>
        </w:rPr>
        <w:t xml:space="preserve"> não haverá ganho de capital e não incidirá IR.</w:t>
      </w:r>
    </w:p>
    <w:p w:rsidR="00FD4E9D" w:rsidRDefault="006D7BE0" w:rsidP="00B73AF5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- A integralização do capital é ato oneroso, por isso não incide ITCMD e não incide o ITBI.</w:t>
      </w:r>
    </w:p>
    <w:p w:rsidR="006D7BE0" w:rsidRDefault="006D7BE0" w:rsidP="00B73AF5">
      <w:pPr>
        <w:jc w:val="both"/>
        <w:rPr>
          <w:rFonts w:ascii="Arial" w:hAnsi="Arial" w:cs="Arial"/>
          <w:sz w:val="20"/>
          <w:szCs w:val="18"/>
        </w:rPr>
      </w:pPr>
    </w:p>
    <w:p w:rsidR="00196D97" w:rsidRDefault="00196D97" w:rsidP="00B73AF5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-ITBI:</w:t>
      </w:r>
    </w:p>
    <w:p w:rsidR="00196D97" w:rsidRDefault="00196D97" w:rsidP="00196D9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156 da CF:</w:t>
      </w:r>
    </w:p>
    <w:p w:rsidR="00196D97" w:rsidRDefault="00196D97" w:rsidP="00196D9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2º ...</w:t>
      </w:r>
      <w:bookmarkStart w:id="3" w:name="art156§2i"/>
      <w:bookmarkEnd w:id="3"/>
    </w:p>
    <w:p w:rsidR="00196D97" w:rsidRDefault="00196D97" w:rsidP="00196D9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não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incide sobre a transmissão de bens ou direitos incorporados ao patrimônio de pessoa jurídica em realização de capital, nem sobre a transmissão de bens ou direitos decorrente de fusão, incorporação, cisão ou extinção de pessoa jurídica, salvo se, nesses casos, a atividade preponderante do adquirente for a compra e venda desses bens ou direitos, locação de bens imóveis ou arrendamento mercantil;</w:t>
      </w:r>
    </w:p>
    <w:p w:rsidR="00196D97" w:rsidRDefault="002440D6" w:rsidP="00B73AF5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--//--//--</w:t>
      </w:r>
    </w:p>
    <w:p w:rsidR="002440D6" w:rsidRDefault="002440D6" w:rsidP="00B73AF5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- Quando descrever o imóvel na integralização do capital social, não esquecer de colocar a área do imóvel.</w:t>
      </w:r>
    </w:p>
    <w:p w:rsidR="002440D6" w:rsidRDefault="002440D6" w:rsidP="00B73AF5">
      <w:pPr>
        <w:jc w:val="both"/>
        <w:rPr>
          <w:rFonts w:ascii="Arial" w:hAnsi="Arial" w:cs="Arial"/>
          <w:sz w:val="20"/>
          <w:szCs w:val="18"/>
        </w:rPr>
      </w:pPr>
    </w:p>
    <w:p w:rsidR="00623C64" w:rsidRPr="00623C64" w:rsidRDefault="00623C64" w:rsidP="00B73AF5">
      <w:pPr>
        <w:jc w:val="both"/>
        <w:rPr>
          <w:rFonts w:ascii="Arial" w:hAnsi="Arial" w:cs="Arial"/>
          <w:sz w:val="20"/>
          <w:szCs w:val="18"/>
        </w:rPr>
      </w:pPr>
    </w:p>
    <w:p w:rsidR="00654E6E" w:rsidRPr="00623C64" w:rsidRDefault="00654E6E" w:rsidP="00343780">
      <w:pPr>
        <w:jc w:val="both"/>
        <w:rPr>
          <w:rFonts w:ascii="Arial" w:hAnsi="Arial" w:cs="Arial"/>
          <w:color w:val="0F0F0F"/>
          <w:sz w:val="20"/>
          <w:szCs w:val="18"/>
        </w:rPr>
      </w:pPr>
    </w:p>
    <w:p w:rsidR="00343780" w:rsidRPr="00315536" w:rsidRDefault="00343780" w:rsidP="00343780">
      <w:pPr>
        <w:jc w:val="both"/>
        <w:rPr>
          <w:rFonts w:ascii="Arial" w:hAnsi="Arial" w:cs="Arial"/>
          <w:sz w:val="24"/>
        </w:rPr>
      </w:pPr>
    </w:p>
    <w:sectPr w:rsidR="00343780" w:rsidRPr="00315536" w:rsidSect="003155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36"/>
    <w:rsid w:val="0001686D"/>
    <w:rsid w:val="00036E78"/>
    <w:rsid w:val="0006575E"/>
    <w:rsid w:val="000A03F2"/>
    <w:rsid w:val="000A1576"/>
    <w:rsid w:val="00104EEE"/>
    <w:rsid w:val="00107BBD"/>
    <w:rsid w:val="00126455"/>
    <w:rsid w:val="00126C53"/>
    <w:rsid w:val="0014462D"/>
    <w:rsid w:val="0014478A"/>
    <w:rsid w:val="00196D97"/>
    <w:rsid w:val="001E6610"/>
    <w:rsid w:val="002240B3"/>
    <w:rsid w:val="002440D6"/>
    <w:rsid w:val="00251799"/>
    <w:rsid w:val="002524C7"/>
    <w:rsid w:val="002B2BC6"/>
    <w:rsid w:val="002C7AE1"/>
    <w:rsid w:val="002F45BB"/>
    <w:rsid w:val="00315536"/>
    <w:rsid w:val="00333C61"/>
    <w:rsid w:val="00336F1C"/>
    <w:rsid w:val="00337A3E"/>
    <w:rsid w:val="00343780"/>
    <w:rsid w:val="003F3987"/>
    <w:rsid w:val="00404BCC"/>
    <w:rsid w:val="00416CB9"/>
    <w:rsid w:val="00453FCA"/>
    <w:rsid w:val="0053347A"/>
    <w:rsid w:val="0053554D"/>
    <w:rsid w:val="00567EAB"/>
    <w:rsid w:val="00573DCA"/>
    <w:rsid w:val="0057675F"/>
    <w:rsid w:val="005968C4"/>
    <w:rsid w:val="00613271"/>
    <w:rsid w:val="00614B75"/>
    <w:rsid w:val="00623C64"/>
    <w:rsid w:val="00654E6E"/>
    <w:rsid w:val="00693B94"/>
    <w:rsid w:val="006D7BE0"/>
    <w:rsid w:val="006F1AF8"/>
    <w:rsid w:val="007379AE"/>
    <w:rsid w:val="00745071"/>
    <w:rsid w:val="00751100"/>
    <w:rsid w:val="007804E4"/>
    <w:rsid w:val="007973D3"/>
    <w:rsid w:val="007B216B"/>
    <w:rsid w:val="007C0005"/>
    <w:rsid w:val="007D3036"/>
    <w:rsid w:val="0081672A"/>
    <w:rsid w:val="00851C16"/>
    <w:rsid w:val="00852082"/>
    <w:rsid w:val="008520D3"/>
    <w:rsid w:val="00884529"/>
    <w:rsid w:val="008B61E4"/>
    <w:rsid w:val="008C24E5"/>
    <w:rsid w:val="008C5C4B"/>
    <w:rsid w:val="0093208C"/>
    <w:rsid w:val="009606C1"/>
    <w:rsid w:val="009927C6"/>
    <w:rsid w:val="009A10F0"/>
    <w:rsid w:val="009B53A8"/>
    <w:rsid w:val="00A2689C"/>
    <w:rsid w:val="00A2761C"/>
    <w:rsid w:val="00A67103"/>
    <w:rsid w:val="00AA52A2"/>
    <w:rsid w:val="00AB3717"/>
    <w:rsid w:val="00AB7B84"/>
    <w:rsid w:val="00AC5C24"/>
    <w:rsid w:val="00B017E4"/>
    <w:rsid w:val="00B312FD"/>
    <w:rsid w:val="00B4321B"/>
    <w:rsid w:val="00B4742B"/>
    <w:rsid w:val="00B54B3D"/>
    <w:rsid w:val="00B73AF5"/>
    <w:rsid w:val="00BD59D1"/>
    <w:rsid w:val="00C15358"/>
    <w:rsid w:val="00C17276"/>
    <w:rsid w:val="00C54614"/>
    <w:rsid w:val="00CF0EE6"/>
    <w:rsid w:val="00D423B7"/>
    <w:rsid w:val="00D6457C"/>
    <w:rsid w:val="00D766A0"/>
    <w:rsid w:val="00D877EB"/>
    <w:rsid w:val="00D949EF"/>
    <w:rsid w:val="00D95A72"/>
    <w:rsid w:val="00DA0E80"/>
    <w:rsid w:val="00DB60A4"/>
    <w:rsid w:val="00DD501A"/>
    <w:rsid w:val="00E028B1"/>
    <w:rsid w:val="00E2397C"/>
    <w:rsid w:val="00E83603"/>
    <w:rsid w:val="00E94186"/>
    <w:rsid w:val="00E949F3"/>
    <w:rsid w:val="00EA60F9"/>
    <w:rsid w:val="00EA64A1"/>
    <w:rsid w:val="00EA7E16"/>
    <w:rsid w:val="00EE1EEB"/>
    <w:rsid w:val="00F1196B"/>
    <w:rsid w:val="00F13CD2"/>
    <w:rsid w:val="00F2481A"/>
    <w:rsid w:val="00F556C2"/>
    <w:rsid w:val="00F83F3B"/>
    <w:rsid w:val="00FD4E9D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73D5"/>
  <w15:chartTrackingRefBased/>
  <w15:docId w15:val="{783E7641-B6B8-4346-9E31-3C4A88E9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168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16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15</Pages>
  <Words>3155</Words>
  <Characters>17038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2023-06-09T18:01:00Z</dcterms:created>
  <dcterms:modified xsi:type="dcterms:W3CDTF">2023-06-13T21:34:00Z</dcterms:modified>
</cp:coreProperties>
</file>