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52" w:rsidRDefault="00CC5752" w:rsidP="00CC5752">
      <w:pPr>
        <w:rPr>
          <w:rFonts w:cs="Arial"/>
        </w:rPr>
      </w:pPr>
    </w:p>
    <w:p w:rsidR="00CC5752" w:rsidRPr="00450F75" w:rsidRDefault="00CC5752" w:rsidP="00CC5752">
      <w:pPr>
        <w:jc w:val="right"/>
        <w:rPr>
          <w:rFonts w:cs="Arial"/>
        </w:rPr>
      </w:pPr>
      <w:r w:rsidRPr="00A92B45">
        <w:rPr>
          <w:rFonts w:cs="Arial"/>
          <w:noProof/>
          <w:color w:val="548DD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5.05pt;margin-top:7.4pt;width:314.8pt;height:0;z-index:251660288" o:connectortype="straight" strokecolor="#a5a5a5" strokeweight="3pt">
            <v:shadow type="perspective" color="#243f60" opacity=".5" offset="1pt" offset2="-1pt"/>
          </v:shape>
        </w:pict>
      </w:r>
    </w:p>
    <w:p w:rsidR="00CC5752" w:rsidRDefault="00CC5752" w:rsidP="00CC5752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DA TEMPESTIVIDADE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CC5752" w:rsidRPr="00450F75" w:rsidRDefault="00CC5752" w:rsidP="00CC5752">
      <w:pPr>
        <w:jc w:val="right"/>
        <w:rPr>
          <w:rFonts w:cs="Arial"/>
        </w:rPr>
      </w:pPr>
      <w:r w:rsidRPr="00A92B45">
        <w:rPr>
          <w:rFonts w:cs="Arial"/>
          <w:b/>
          <w:noProof/>
        </w:rPr>
        <w:pict>
          <v:shape id="_x0000_s1027" type="#_x0000_t32" style="position:absolute;left:0;text-align:left;margin-left:-3.3pt;margin-top:4pt;width:493.15pt;height:0;z-index:251661312" o:connectortype="straight" strokecolor="#a5a5a5" strokeweight="3pt">
            <v:shadow type="perspective" color="#243f60" opacity=".5" offset="1pt" offset2="-1pt"/>
          </v:shape>
        </w:pict>
      </w:r>
    </w:p>
    <w:p w:rsidR="00CC5752" w:rsidRDefault="00CC5752" w:rsidP="00CC5752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B595A">
        <w:rPr>
          <w:rFonts w:cs="Arial"/>
          <w:szCs w:val="24"/>
        </w:rPr>
        <w:t>O Município de Campo Grande-MS</w:t>
      </w:r>
      <w:proofErr w:type="gramStart"/>
      <w:r w:rsidRPr="00CB595A">
        <w:rPr>
          <w:rFonts w:cs="Arial"/>
          <w:szCs w:val="24"/>
        </w:rPr>
        <w:t>, publicou</w:t>
      </w:r>
      <w:proofErr w:type="gramEnd"/>
      <w:r w:rsidRPr="00CB595A">
        <w:rPr>
          <w:rFonts w:cs="Arial"/>
          <w:szCs w:val="24"/>
        </w:rPr>
        <w:t xml:space="preserve"> edital de nº 5.495 em 18/02/2019, nos seg</w:t>
      </w:r>
      <w:r>
        <w:rPr>
          <w:rFonts w:cs="Arial"/>
          <w:szCs w:val="24"/>
        </w:rPr>
        <w:t>u</w:t>
      </w:r>
      <w:r w:rsidRPr="00CB595A">
        <w:rPr>
          <w:rFonts w:cs="Arial"/>
          <w:szCs w:val="24"/>
        </w:rPr>
        <w:t>intes termos:</w:t>
      </w:r>
    </w:p>
    <w:p w:rsidR="00CC5752" w:rsidRDefault="00CC5752" w:rsidP="00CC5752">
      <w:pPr>
        <w:rPr>
          <w:rFonts w:cs="Arial"/>
          <w:szCs w:val="24"/>
        </w:rPr>
      </w:pPr>
    </w:p>
    <w:p w:rsidR="00CC5752" w:rsidRDefault="00CC5752" w:rsidP="00CC5752">
      <w:pPr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>
            <wp:extent cx="5324475" cy="2143125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752" w:rsidRDefault="00CC5752" w:rsidP="00CC5752">
      <w:pPr>
        <w:ind w:right="22"/>
        <w:jc w:val="both"/>
        <w:rPr>
          <w:rFonts w:cs="Arial"/>
          <w:szCs w:val="24"/>
        </w:rPr>
      </w:pPr>
    </w:p>
    <w:p w:rsidR="00CC5752" w:rsidRDefault="00CC5752" w:rsidP="00CC5752">
      <w:pPr>
        <w:ind w:right="22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Observando-se detidamente o edital, nota-se que o ente municipal, trata a NOTIFICAÇÃO E A INTIMAÇÃO, como ato administrativo único, ao arrepio da lei, que separa a NOTIFICAÇÃO E A INTIMAÇÃO em dois atos administrativos a serem realizados em momentos distintos.</w:t>
      </w:r>
    </w:p>
    <w:p w:rsidR="00CC5752" w:rsidRDefault="00CC5752" w:rsidP="00CC5752">
      <w:pPr>
        <w:ind w:right="22"/>
        <w:jc w:val="both"/>
        <w:rPr>
          <w:rFonts w:cs="Arial"/>
          <w:szCs w:val="24"/>
        </w:rPr>
      </w:pPr>
    </w:p>
    <w:p w:rsidR="00CC5752" w:rsidRDefault="00CC5752" w:rsidP="00CC5752">
      <w:pPr>
        <w:ind w:right="22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Da Lei Complementar 02/92, extraímos que:</w:t>
      </w:r>
    </w:p>
    <w:p w:rsidR="00CC5752" w:rsidRDefault="00CC5752" w:rsidP="00CC5752">
      <w:pPr>
        <w:ind w:right="-120"/>
        <w:jc w:val="both"/>
        <w:rPr>
          <w:rFonts w:cs="Arial"/>
          <w:szCs w:val="24"/>
        </w:rPr>
      </w:pPr>
    </w:p>
    <w:p w:rsidR="00CC5752" w:rsidRPr="00CC3612" w:rsidRDefault="00CC5752" w:rsidP="00CC5752">
      <w:pPr>
        <w:ind w:left="4254"/>
        <w:jc w:val="both"/>
        <w:rPr>
          <w:rFonts w:ascii="Tahoma" w:hAnsi="Tahoma" w:cs="Tahoma"/>
          <w:b/>
          <w:sz w:val="22"/>
          <w:szCs w:val="24"/>
        </w:rPr>
      </w:pPr>
      <w:r w:rsidRPr="00CC3612">
        <w:rPr>
          <w:rFonts w:ascii="Tahoma" w:hAnsi="Tahoma" w:cs="Tahoma"/>
          <w:b/>
          <w:sz w:val="22"/>
          <w:szCs w:val="24"/>
        </w:rPr>
        <w:t>DA INTIMAÇÃO</w:t>
      </w:r>
    </w:p>
    <w:p w:rsidR="00CC5752" w:rsidRPr="00DD15CD" w:rsidRDefault="00CC5752" w:rsidP="00CC5752">
      <w:pPr>
        <w:ind w:left="4254"/>
        <w:jc w:val="both"/>
        <w:rPr>
          <w:rFonts w:ascii="Tahoma" w:hAnsi="Tahoma" w:cs="Tahoma"/>
          <w:sz w:val="22"/>
          <w:szCs w:val="24"/>
        </w:rPr>
      </w:pPr>
      <w:r w:rsidRPr="00DD15CD">
        <w:rPr>
          <w:rFonts w:ascii="Tahoma" w:hAnsi="Tahoma" w:cs="Tahoma"/>
          <w:sz w:val="22"/>
          <w:szCs w:val="24"/>
        </w:rPr>
        <w:t>Art. 11 - Os interessados deverão ter ciência do ato que determinar o início do processo administrativo tributário, bem como de todos os demais de natureza decisória ou que lhe imponham a prática de qualquer ato.</w:t>
      </w:r>
    </w:p>
    <w:p w:rsidR="00CC5752" w:rsidRPr="00DD15CD" w:rsidRDefault="00CC5752" w:rsidP="00CC5752">
      <w:pPr>
        <w:ind w:left="4254"/>
        <w:jc w:val="both"/>
        <w:rPr>
          <w:rFonts w:ascii="Tahoma" w:hAnsi="Tahoma" w:cs="Tahoma"/>
          <w:sz w:val="22"/>
          <w:szCs w:val="24"/>
        </w:rPr>
      </w:pPr>
    </w:p>
    <w:p w:rsidR="00CC5752" w:rsidRPr="00DD15CD" w:rsidRDefault="00CC5752" w:rsidP="00CC5752">
      <w:pPr>
        <w:ind w:left="4254"/>
        <w:jc w:val="both"/>
        <w:rPr>
          <w:rFonts w:ascii="Tahoma" w:hAnsi="Tahoma" w:cs="Tahoma"/>
          <w:sz w:val="22"/>
          <w:szCs w:val="24"/>
        </w:rPr>
      </w:pPr>
      <w:r w:rsidRPr="00DD15CD">
        <w:rPr>
          <w:rFonts w:ascii="Tahoma" w:hAnsi="Tahoma" w:cs="Tahoma"/>
          <w:sz w:val="22"/>
          <w:szCs w:val="24"/>
        </w:rPr>
        <w:t>Art. 12 - Far-se-á a intimação:</w:t>
      </w:r>
    </w:p>
    <w:p w:rsidR="00CC5752" w:rsidRPr="00DD15CD" w:rsidRDefault="00CC5752" w:rsidP="00CC5752">
      <w:pPr>
        <w:ind w:left="4254"/>
        <w:jc w:val="both"/>
        <w:rPr>
          <w:rFonts w:ascii="Tahoma" w:hAnsi="Tahoma" w:cs="Tahoma"/>
          <w:sz w:val="22"/>
          <w:szCs w:val="24"/>
        </w:rPr>
      </w:pPr>
      <w:r w:rsidRPr="00DD15CD">
        <w:rPr>
          <w:rFonts w:ascii="Tahoma" w:hAnsi="Tahoma" w:cs="Tahoma"/>
          <w:sz w:val="22"/>
          <w:szCs w:val="24"/>
        </w:rPr>
        <w:t>IV. Por edital, quando resultarem improfícuos quaisquer dos meios referidos nos incisos anteriores.</w:t>
      </w:r>
    </w:p>
    <w:p w:rsidR="00CC5752" w:rsidRPr="00DD15CD" w:rsidRDefault="00CC5752" w:rsidP="00CC5752">
      <w:pPr>
        <w:ind w:left="4254"/>
        <w:jc w:val="both"/>
        <w:rPr>
          <w:rFonts w:ascii="Tahoma" w:hAnsi="Tahoma" w:cs="Tahoma"/>
          <w:sz w:val="22"/>
          <w:szCs w:val="24"/>
        </w:rPr>
      </w:pPr>
    </w:p>
    <w:p w:rsidR="00CC5752" w:rsidRPr="00DD15CD" w:rsidRDefault="00CC5752" w:rsidP="00CC5752">
      <w:pPr>
        <w:ind w:left="4254"/>
        <w:jc w:val="both"/>
        <w:rPr>
          <w:rFonts w:ascii="Tahoma" w:hAnsi="Tahoma" w:cs="Tahoma"/>
          <w:sz w:val="22"/>
          <w:szCs w:val="24"/>
        </w:rPr>
      </w:pPr>
      <w:r w:rsidRPr="00DD15CD">
        <w:rPr>
          <w:rFonts w:ascii="Tahoma" w:hAnsi="Tahoma" w:cs="Tahoma"/>
          <w:sz w:val="22"/>
          <w:szCs w:val="24"/>
        </w:rPr>
        <w:t>Art. 13 - Considerar-se-á feita a intimação:</w:t>
      </w:r>
    </w:p>
    <w:p w:rsidR="00CC5752" w:rsidRPr="00DD15CD" w:rsidRDefault="00CC5752" w:rsidP="00CC5752">
      <w:pPr>
        <w:ind w:left="4254"/>
        <w:jc w:val="both"/>
        <w:rPr>
          <w:rFonts w:ascii="Tahoma" w:hAnsi="Tahoma" w:cs="Tahoma"/>
          <w:sz w:val="22"/>
          <w:szCs w:val="24"/>
        </w:rPr>
      </w:pPr>
      <w:r w:rsidRPr="00DD15CD">
        <w:rPr>
          <w:rFonts w:ascii="Tahoma" w:hAnsi="Tahoma" w:cs="Tahoma"/>
          <w:sz w:val="22"/>
          <w:szCs w:val="24"/>
        </w:rPr>
        <w:t>IV. Quando por edital, 30 (trinta) dias após a publicação e fixação do mesmo.</w:t>
      </w:r>
    </w:p>
    <w:p w:rsidR="00CC5752" w:rsidRPr="00DD15CD" w:rsidRDefault="00CC5752" w:rsidP="00CC5752">
      <w:p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</w:t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</w:p>
    <w:p w:rsidR="00CC5752" w:rsidRPr="00CC3612" w:rsidRDefault="00CC5752" w:rsidP="00CC5752">
      <w:pPr>
        <w:ind w:left="4254"/>
        <w:jc w:val="both"/>
        <w:rPr>
          <w:rFonts w:ascii="Tahoma" w:hAnsi="Tahoma" w:cs="Tahoma"/>
          <w:b/>
          <w:sz w:val="22"/>
          <w:szCs w:val="24"/>
        </w:rPr>
      </w:pPr>
      <w:r w:rsidRPr="00CC3612">
        <w:rPr>
          <w:rFonts w:ascii="Tahoma" w:hAnsi="Tahoma" w:cs="Tahoma"/>
          <w:b/>
          <w:sz w:val="22"/>
          <w:szCs w:val="24"/>
        </w:rPr>
        <w:t>DA NOTIFICAÇÃO DE LANÇAMENTO</w:t>
      </w:r>
    </w:p>
    <w:p w:rsidR="00CC5752" w:rsidRPr="00DD15CD" w:rsidRDefault="00CC5752" w:rsidP="00CC5752">
      <w:pPr>
        <w:ind w:left="4254"/>
        <w:jc w:val="both"/>
        <w:rPr>
          <w:rFonts w:ascii="Tahoma" w:hAnsi="Tahoma" w:cs="Tahoma"/>
          <w:sz w:val="22"/>
          <w:szCs w:val="24"/>
        </w:rPr>
      </w:pPr>
      <w:r w:rsidRPr="00DD15CD">
        <w:rPr>
          <w:rFonts w:ascii="Tahoma" w:hAnsi="Tahoma" w:cs="Tahoma"/>
          <w:sz w:val="22"/>
          <w:szCs w:val="24"/>
        </w:rPr>
        <w:t>Art. 15 - A ciência da Notificação de Lançamento poderá ser feita nas formas previstas no art. 13 desta Lei e deverá conter:</w:t>
      </w:r>
    </w:p>
    <w:p w:rsidR="00CC5752" w:rsidRPr="00DD15CD" w:rsidRDefault="00CC5752" w:rsidP="00CC5752">
      <w:pPr>
        <w:ind w:left="4254"/>
        <w:jc w:val="both"/>
        <w:rPr>
          <w:rFonts w:ascii="Tahoma" w:hAnsi="Tahoma" w:cs="Tahoma"/>
          <w:sz w:val="22"/>
          <w:szCs w:val="24"/>
        </w:rPr>
      </w:pPr>
    </w:p>
    <w:p w:rsidR="00CC5752" w:rsidRDefault="00CC5752" w:rsidP="00CC5752">
      <w:pPr>
        <w:ind w:left="4254"/>
        <w:jc w:val="both"/>
        <w:rPr>
          <w:rFonts w:ascii="Tahoma" w:hAnsi="Tahoma" w:cs="Tahoma"/>
          <w:sz w:val="22"/>
          <w:szCs w:val="24"/>
        </w:rPr>
      </w:pPr>
      <w:r>
        <w:rPr>
          <w:rFonts w:cs="Arial"/>
          <w:szCs w:val="24"/>
        </w:rPr>
        <w:lastRenderedPageBreak/>
        <w:t xml:space="preserve">§ </w:t>
      </w:r>
      <w:r w:rsidRPr="00DD15CD">
        <w:rPr>
          <w:rFonts w:ascii="Tahoma" w:hAnsi="Tahoma" w:cs="Tahoma"/>
          <w:sz w:val="22"/>
          <w:szCs w:val="24"/>
        </w:rPr>
        <w:t>2º - Considerar-se-á feita a ciência do sujeito passivo em 15 (quinze) dias após a publicação do edital na imprensa oficial do Município.</w:t>
      </w:r>
    </w:p>
    <w:p w:rsidR="00CC5752" w:rsidRPr="00BD43FE" w:rsidRDefault="00CC5752" w:rsidP="00CC5752">
      <w:pPr>
        <w:jc w:val="both"/>
        <w:rPr>
          <w:rFonts w:cs="Arial"/>
          <w:sz w:val="22"/>
          <w:szCs w:val="24"/>
        </w:rPr>
      </w:pPr>
    </w:p>
    <w:p w:rsidR="00CC5752" w:rsidRDefault="00CC5752" w:rsidP="00CC5752">
      <w:pPr>
        <w:jc w:val="both"/>
        <w:rPr>
          <w:rFonts w:cs="Arial"/>
          <w:szCs w:val="24"/>
        </w:rPr>
      </w:pPr>
      <w:r w:rsidRPr="00BD43FE">
        <w:rPr>
          <w:rFonts w:cs="Arial"/>
          <w:szCs w:val="24"/>
        </w:rPr>
        <w:t xml:space="preserve"> </w:t>
      </w:r>
      <w:r w:rsidRPr="00BD43FE">
        <w:rPr>
          <w:rFonts w:cs="Arial"/>
          <w:szCs w:val="24"/>
        </w:rPr>
        <w:tab/>
      </w:r>
      <w:r w:rsidRPr="00BD43FE">
        <w:rPr>
          <w:rFonts w:cs="Arial"/>
          <w:szCs w:val="24"/>
        </w:rPr>
        <w:tab/>
      </w:r>
      <w:r w:rsidRPr="00BD43FE">
        <w:rPr>
          <w:rFonts w:cs="Arial"/>
          <w:szCs w:val="24"/>
        </w:rPr>
        <w:tab/>
      </w:r>
      <w:r w:rsidRPr="00BD43FE">
        <w:rPr>
          <w:rFonts w:cs="Arial"/>
          <w:szCs w:val="24"/>
        </w:rPr>
        <w:tab/>
      </w:r>
      <w:r w:rsidRPr="00BD43FE">
        <w:rPr>
          <w:rFonts w:cs="Arial"/>
          <w:szCs w:val="24"/>
        </w:rPr>
        <w:tab/>
        <w:t>O art. 13, IV da LC 02/92 deixa límpido o entendimento</w:t>
      </w:r>
      <w:r>
        <w:rPr>
          <w:rFonts w:cs="Arial"/>
          <w:szCs w:val="24"/>
        </w:rPr>
        <w:t>, que a intimação somente se aperfeiçoa após trinta dias da publicação do edital.</w:t>
      </w:r>
    </w:p>
    <w:p w:rsidR="00CC5752" w:rsidRDefault="00CC5752" w:rsidP="00CC5752">
      <w:pPr>
        <w:jc w:val="both"/>
        <w:rPr>
          <w:rFonts w:cs="Arial"/>
          <w:szCs w:val="24"/>
        </w:rPr>
      </w:pPr>
    </w:p>
    <w:p w:rsidR="00CC5752" w:rsidRDefault="00CC5752" w:rsidP="00CC575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Nestes termos, é preciso esgotar o prazo de trinta dias da publicação do edital, para só depois abrir-se o prazo de quinze dias para a notificação, conforme apregoa o art. 15, § 2º da LC 02/92. O que não foi feito pelo fisco municipal, eivando de vícios a publicação do referido edital.</w:t>
      </w:r>
    </w:p>
    <w:p w:rsidR="00CC5752" w:rsidRDefault="00CC5752" w:rsidP="00CC5752">
      <w:pPr>
        <w:jc w:val="both"/>
        <w:rPr>
          <w:rFonts w:cs="Arial"/>
          <w:szCs w:val="24"/>
        </w:rPr>
      </w:pPr>
    </w:p>
    <w:p w:rsidR="00CC5752" w:rsidRPr="00BD43FE" w:rsidRDefault="00CC5752" w:rsidP="00CC5752">
      <w:pPr>
        <w:jc w:val="both"/>
        <w:rPr>
          <w:rFonts w:cs="Arial"/>
          <w:sz w:val="28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Assim, havendo erro na publicação do edital, dado que não foram ofertados os prazos estipulados em lei, configura-se </w:t>
      </w:r>
      <w:r w:rsidRPr="00DE6137">
        <w:rPr>
          <w:rFonts w:cs="Arial"/>
          <w:szCs w:val="24"/>
        </w:rPr>
        <w:t>a ilegalidade</w:t>
      </w:r>
      <w:r>
        <w:rPr>
          <w:rFonts w:cs="Arial"/>
          <w:szCs w:val="24"/>
        </w:rPr>
        <w:t>, devendo o ente municipal rever seu ato de ofício.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752"/>
    <w:rsid w:val="001F5267"/>
    <w:rsid w:val="00263536"/>
    <w:rsid w:val="00394C50"/>
    <w:rsid w:val="00457A07"/>
    <w:rsid w:val="004E2E8C"/>
    <w:rsid w:val="005277C0"/>
    <w:rsid w:val="00571FD1"/>
    <w:rsid w:val="00926719"/>
    <w:rsid w:val="00A02D16"/>
    <w:rsid w:val="00C94FE0"/>
    <w:rsid w:val="00CB75E6"/>
    <w:rsid w:val="00CC5752"/>
    <w:rsid w:val="00CF3C1F"/>
    <w:rsid w:val="00D4327F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5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2019-04-08T19:45:00Z</dcterms:created>
  <dcterms:modified xsi:type="dcterms:W3CDTF">2019-04-08T19:46:00Z</dcterms:modified>
</cp:coreProperties>
</file>