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D333" w14:textId="77777777" w:rsidR="00D34891" w:rsidRPr="00D34891" w:rsidRDefault="00D34891" w:rsidP="00D34891">
      <w:pPr>
        <w:shd w:val="clear" w:color="auto" w:fill="FFFFFF"/>
        <w:spacing w:before="72" w:after="90" w:line="240" w:lineRule="auto"/>
        <w:jc w:val="both"/>
        <w:outlineLvl w:val="0"/>
        <w:rPr>
          <w:rFonts w:ascii="inherit" w:eastAsia="Times New Roman" w:hAnsi="inherit" w:cs="Helvetica"/>
          <w:color w:val="333333"/>
          <w:kern w:val="36"/>
          <w:sz w:val="42"/>
          <w:szCs w:val="42"/>
          <w:lang w:eastAsia="pt-BR"/>
        </w:rPr>
      </w:pPr>
      <w:r w:rsidRPr="00D34891">
        <w:rPr>
          <w:rFonts w:ascii="inherit" w:eastAsia="Times New Roman" w:hAnsi="inherit" w:cs="Helvetica"/>
          <w:color w:val="333333"/>
          <w:kern w:val="36"/>
          <w:sz w:val="42"/>
          <w:szCs w:val="42"/>
          <w:lang w:eastAsia="pt-BR"/>
        </w:rPr>
        <w:t>Aposentadoria especial do servidor público exposto a agentes nocivos</w:t>
      </w:r>
    </w:p>
    <w:p w14:paraId="37550D77" w14:textId="77777777" w:rsidR="00D34891" w:rsidRPr="00D34891" w:rsidRDefault="00D34891" w:rsidP="00D34891">
      <w:pPr>
        <w:shd w:val="clear" w:color="auto" w:fill="FFFFFF"/>
        <w:spacing w:after="240" w:line="240" w:lineRule="auto"/>
        <w:jc w:val="both"/>
        <w:outlineLvl w:val="1"/>
        <w:rPr>
          <w:rFonts w:ascii="inherit" w:eastAsia="Times New Roman" w:hAnsi="inherit" w:cs="Helvetica"/>
          <w:color w:val="6F6F6F"/>
          <w:sz w:val="36"/>
          <w:szCs w:val="36"/>
          <w:lang w:eastAsia="pt-BR"/>
        </w:rPr>
      </w:pPr>
      <w:r w:rsidRPr="00D34891">
        <w:rPr>
          <w:rFonts w:ascii="inherit" w:eastAsia="Times New Roman" w:hAnsi="inherit" w:cs="Helvetica"/>
          <w:color w:val="6F6F6F"/>
          <w:sz w:val="36"/>
          <w:szCs w:val="36"/>
          <w:lang w:eastAsia="pt-BR"/>
        </w:rPr>
        <w:t>insalubridade e periculosidade</w:t>
      </w:r>
    </w:p>
    <w:p w14:paraId="54F26213" w14:textId="77777777" w:rsidR="00D34891" w:rsidRPr="00D34891" w:rsidRDefault="00290C1E" w:rsidP="00D34891">
      <w:pPr>
        <w:shd w:val="clear" w:color="auto" w:fill="FFFFFF"/>
        <w:spacing w:before="240" w:after="90" w:line="240" w:lineRule="auto"/>
        <w:jc w:val="both"/>
        <w:rPr>
          <w:rFonts w:ascii="Helvetica" w:eastAsia="Times New Roman" w:hAnsi="Helvetica" w:cs="Helvetica"/>
          <w:color w:val="787878"/>
          <w:spacing w:val="15"/>
          <w:sz w:val="26"/>
          <w:szCs w:val="26"/>
          <w:lang w:eastAsia="pt-BR"/>
        </w:rPr>
      </w:pPr>
      <w:hyperlink r:id="rId5" w:tooltip="Acesse o perfil de Marcelo Roque Anderson Maciel Avila" w:history="1">
        <w:r w:rsidR="00D34891" w:rsidRPr="00D34891">
          <w:rPr>
            <w:rFonts w:ascii="Helvetica" w:eastAsia="Times New Roman" w:hAnsi="Helvetica" w:cs="Helvetica"/>
            <w:noProof/>
            <w:color w:val="0746A8"/>
            <w:spacing w:val="15"/>
            <w:sz w:val="26"/>
            <w:szCs w:val="26"/>
            <w:lang w:eastAsia="pt-BR"/>
          </w:rPr>
          <mc:AlternateContent>
            <mc:Choice Requires="wps">
              <w:drawing>
                <wp:inline distT="0" distB="0" distL="0" distR="0" wp14:anchorId="7C54BD10" wp14:editId="59E6130F">
                  <wp:extent cx="304800" cy="304800"/>
                  <wp:effectExtent l="0" t="0" r="0" b="0"/>
                  <wp:docPr id="1" name="Retângulo 1" descr="Marcelo Roque Anderson Maciel Avila">
                    <a:hlinkClick xmlns:a="http://schemas.openxmlformats.org/drawingml/2006/main" r:id="rId5" tooltip="&quot;Acesse o perfil de Marcelo Roque Anderson Maciel Avil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B389D" id="Retângulo 1" o:spid="_x0000_s1026" alt="Marcelo Roque Anderson Maciel Avila" href="https://marceloavila.jus.com.br/publicacoes" title="&quot;Acesse o perfil de Marcelo Roque Anderson Maciel Avil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" o:button="t" filled="f" stroked="f">
                  <v:fill o:detectmouseclick="t"/>
                  <o:lock v:ext="edit" aspectratio="t"/>
                  <w10:anchorlock/>
                </v:rect>
              </w:pict>
            </mc:Fallback>
          </mc:AlternateContent>
        </w:r>
        <w:r w:rsidR="00D34891" w:rsidRPr="00D34891">
          <w:rPr>
            <w:rFonts w:ascii="Helvetica" w:eastAsia="Times New Roman" w:hAnsi="Helvetica" w:cs="Helvetica"/>
            <w:color w:val="0746A8"/>
            <w:spacing w:val="15"/>
            <w:sz w:val="26"/>
            <w:szCs w:val="26"/>
            <w:u w:val="single"/>
            <w:lang w:eastAsia="pt-BR"/>
          </w:rPr>
          <w:t>Marcelo Roque Anderson Maciel Avila</w:t>
        </w:r>
      </w:hyperlink>
    </w:p>
    <w:p w14:paraId="71A9568E" w14:textId="77777777" w:rsidR="00D34891" w:rsidRPr="00D34891" w:rsidRDefault="00D34891" w:rsidP="00D34891">
      <w:pPr>
        <w:shd w:val="clear" w:color="auto" w:fill="FFFFFF"/>
        <w:spacing w:before="75" w:after="0" w:line="360" w:lineRule="atLeast"/>
        <w:jc w:val="both"/>
        <w:rPr>
          <w:rFonts w:ascii="Helvetica" w:eastAsia="Times New Roman" w:hAnsi="Helvetica" w:cs="Helvetica"/>
          <w:color w:val="8B8B8B"/>
          <w:sz w:val="22"/>
          <w:lang w:eastAsia="pt-BR"/>
        </w:rPr>
      </w:pPr>
      <w:r w:rsidRPr="00D34891">
        <w:rPr>
          <w:rFonts w:ascii="Helvetica" w:eastAsia="Times New Roman" w:hAnsi="Helvetica" w:cs="Helvetica"/>
          <w:color w:val="8B8B8B"/>
          <w:sz w:val="22"/>
          <w:lang w:eastAsia="pt-BR"/>
        </w:rPr>
        <w:t>Publicado em 04/2012. Elaborado em 03/2012.</w:t>
      </w:r>
    </w:p>
    <w:p w14:paraId="086A75C2" w14:textId="77777777" w:rsidR="00D34891" w:rsidRPr="00D34891" w:rsidRDefault="00D34891" w:rsidP="00D34891">
      <w:pPr>
        <w:shd w:val="clear" w:color="auto" w:fill="FFFFFF"/>
        <w:spacing w:after="0" w:line="240" w:lineRule="auto"/>
        <w:jc w:val="both"/>
        <w:textAlignment w:val="center"/>
        <w:rPr>
          <w:rFonts w:ascii="Helvetica" w:eastAsia="Times New Roman" w:hAnsi="Helvetica" w:cs="Helvetica"/>
          <w:color w:val="333333"/>
          <w:sz w:val="18"/>
          <w:szCs w:val="18"/>
          <w:lang w:eastAsia="pt-BR"/>
        </w:rPr>
      </w:pPr>
      <w:r w:rsidRPr="00D34891">
        <w:rPr>
          <w:rFonts w:ascii="Helvetica" w:eastAsia="Times New Roman" w:hAnsi="Helvetica" w:cs="Helvetica"/>
          <w:color w:val="333333"/>
          <w:sz w:val="18"/>
          <w:szCs w:val="18"/>
          <w:lang w:eastAsia="pt-BR"/>
        </w:rPr>
        <w:t> 19 Curtidas</w:t>
      </w:r>
    </w:p>
    <w:p w14:paraId="773443CD" w14:textId="77777777" w:rsidR="00D34891" w:rsidRPr="00D34891" w:rsidRDefault="00D34891" w:rsidP="00D34891">
      <w:pPr>
        <w:shd w:val="clear" w:color="auto" w:fill="FFFFFF"/>
        <w:spacing w:after="0" w:line="240" w:lineRule="auto"/>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 </w:t>
      </w:r>
    </w:p>
    <w:p w14:paraId="2B1A15BF" w14:textId="77777777" w:rsidR="00D34891" w:rsidRPr="00D34891" w:rsidRDefault="00D34891" w:rsidP="00D34891">
      <w:pPr>
        <w:shd w:val="clear" w:color="auto" w:fill="FFFFFF"/>
        <w:spacing w:after="0" w:line="240" w:lineRule="auto"/>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 </w:t>
      </w:r>
    </w:p>
    <w:p w14:paraId="22C1070C" w14:textId="77777777" w:rsidR="00D34891" w:rsidRPr="00D34891" w:rsidRDefault="00290C1E" w:rsidP="00D34891">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aps/>
          <w:color w:val="333333"/>
          <w:sz w:val="20"/>
          <w:szCs w:val="20"/>
          <w:lang w:eastAsia="pt-BR"/>
        </w:rPr>
      </w:pPr>
      <w:hyperlink r:id="rId6" w:history="1">
        <w:r w:rsidR="00D34891" w:rsidRPr="00D34891">
          <w:rPr>
            <w:rFonts w:ascii="Helvetica" w:eastAsia="Times New Roman" w:hAnsi="Helvetica" w:cs="Helvetica"/>
            <w:caps/>
            <w:color w:val="308C4C"/>
            <w:sz w:val="20"/>
            <w:szCs w:val="20"/>
            <w:u w:val="single"/>
            <w:lang w:eastAsia="pt-BR"/>
          </w:rPr>
          <w:t>DIREITO ADMINISTRATIVO</w:t>
        </w:r>
      </w:hyperlink>
    </w:p>
    <w:p w14:paraId="623815D9" w14:textId="77777777" w:rsidR="00D34891" w:rsidRPr="00D34891" w:rsidRDefault="00290C1E" w:rsidP="00D34891">
      <w:pPr>
        <w:numPr>
          <w:ilvl w:val="0"/>
          <w:numId w:val="1"/>
        </w:numPr>
        <w:shd w:val="clear" w:color="auto" w:fill="FFFFFF"/>
        <w:spacing w:before="100" w:beforeAutospacing="1" w:after="100" w:afterAutospacing="1" w:line="240" w:lineRule="auto"/>
        <w:ind w:left="180"/>
        <w:jc w:val="both"/>
        <w:rPr>
          <w:rFonts w:ascii="Helvetica" w:eastAsia="Times New Roman" w:hAnsi="Helvetica" w:cs="Helvetica"/>
          <w:caps/>
          <w:color w:val="333333"/>
          <w:sz w:val="20"/>
          <w:szCs w:val="20"/>
          <w:lang w:eastAsia="pt-BR"/>
        </w:rPr>
      </w:pPr>
      <w:hyperlink r:id="rId7" w:history="1">
        <w:r w:rsidR="00D34891" w:rsidRPr="00D34891">
          <w:rPr>
            <w:rFonts w:ascii="Helvetica" w:eastAsia="Times New Roman" w:hAnsi="Helvetica" w:cs="Helvetica"/>
            <w:caps/>
            <w:color w:val="308C4C"/>
            <w:sz w:val="20"/>
            <w:szCs w:val="20"/>
            <w:u w:val="single"/>
            <w:lang w:eastAsia="pt-BR"/>
          </w:rPr>
          <w:t>DIREITO DO TRABALHO</w:t>
        </w:r>
      </w:hyperlink>
    </w:p>
    <w:p w14:paraId="1CAB1268" w14:textId="77777777" w:rsidR="00D34891" w:rsidRPr="00D34891" w:rsidRDefault="00290C1E" w:rsidP="00D34891">
      <w:pPr>
        <w:numPr>
          <w:ilvl w:val="0"/>
          <w:numId w:val="1"/>
        </w:numPr>
        <w:shd w:val="clear" w:color="auto" w:fill="FFFFFF"/>
        <w:spacing w:before="100" w:beforeAutospacing="1" w:after="100" w:afterAutospacing="1" w:line="240" w:lineRule="auto"/>
        <w:ind w:left="180"/>
        <w:jc w:val="both"/>
        <w:rPr>
          <w:rFonts w:ascii="Helvetica" w:eastAsia="Times New Roman" w:hAnsi="Helvetica" w:cs="Helvetica"/>
          <w:caps/>
          <w:color w:val="333333"/>
          <w:sz w:val="20"/>
          <w:szCs w:val="20"/>
          <w:lang w:eastAsia="pt-BR"/>
        </w:rPr>
      </w:pPr>
      <w:hyperlink r:id="rId8" w:history="1">
        <w:r w:rsidR="00D34891" w:rsidRPr="00D34891">
          <w:rPr>
            <w:rFonts w:ascii="Helvetica" w:eastAsia="Times New Roman" w:hAnsi="Helvetica" w:cs="Helvetica"/>
            <w:caps/>
            <w:color w:val="308C4C"/>
            <w:sz w:val="20"/>
            <w:szCs w:val="20"/>
            <w:u w:val="single"/>
            <w:lang w:eastAsia="pt-BR"/>
          </w:rPr>
          <w:t>DIREITO PREVIDENCIÁRIO</w:t>
        </w:r>
      </w:hyperlink>
    </w:p>
    <w:p w14:paraId="69EDDAD3" w14:textId="77777777" w:rsidR="00D34891" w:rsidRPr="00D34891" w:rsidRDefault="00290C1E" w:rsidP="00D34891">
      <w:pPr>
        <w:numPr>
          <w:ilvl w:val="0"/>
          <w:numId w:val="1"/>
        </w:numPr>
        <w:shd w:val="clear" w:color="auto" w:fill="FFFFFF"/>
        <w:spacing w:before="100" w:beforeAutospacing="1" w:after="100" w:afterAutospacing="1" w:line="240" w:lineRule="auto"/>
        <w:ind w:left="180"/>
        <w:jc w:val="both"/>
        <w:rPr>
          <w:rFonts w:ascii="Helvetica" w:eastAsia="Times New Roman" w:hAnsi="Helvetica" w:cs="Helvetica"/>
          <w:caps/>
          <w:color w:val="333333"/>
          <w:sz w:val="20"/>
          <w:szCs w:val="20"/>
          <w:lang w:eastAsia="pt-BR"/>
        </w:rPr>
      </w:pPr>
      <w:hyperlink r:id="rId9" w:history="1">
        <w:r w:rsidR="00D34891" w:rsidRPr="00D34891">
          <w:rPr>
            <w:rFonts w:ascii="Helvetica" w:eastAsia="Times New Roman" w:hAnsi="Helvetica" w:cs="Helvetica"/>
            <w:caps/>
            <w:color w:val="308C4C"/>
            <w:sz w:val="20"/>
            <w:szCs w:val="20"/>
            <w:u w:val="single"/>
            <w:lang w:eastAsia="pt-BR"/>
          </w:rPr>
          <w:t>BIODIREITO</w:t>
        </w:r>
      </w:hyperlink>
    </w:p>
    <w:p w14:paraId="64F0AF96" w14:textId="77777777" w:rsidR="00D34891" w:rsidRPr="00D34891" w:rsidRDefault="00D34891" w:rsidP="00D34891">
      <w:pPr>
        <w:shd w:val="clear" w:color="auto" w:fill="F8F8F8"/>
        <w:spacing w:line="240" w:lineRule="auto"/>
        <w:jc w:val="both"/>
        <w:rPr>
          <w:rFonts w:ascii="Helvetica" w:eastAsia="Times New Roman" w:hAnsi="Helvetica" w:cs="Helvetica"/>
          <w:color w:val="888888"/>
          <w:szCs w:val="24"/>
          <w:lang w:eastAsia="pt-BR"/>
        </w:rPr>
      </w:pPr>
      <w:r w:rsidRPr="00D34891">
        <w:rPr>
          <w:rFonts w:ascii="Helvetica" w:eastAsia="Times New Roman" w:hAnsi="Helvetica" w:cs="Helvetica"/>
          <w:color w:val="888888"/>
          <w:szCs w:val="24"/>
          <w:lang w:eastAsia="pt-BR"/>
        </w:rPr>
        <w:t>Para a aposentadoria especial do servidor exposto a insalubridade ou periculosidade, dispensa-se laudo técnico. É suficiente, como prova, a percepção do respectivo adicional.</w:t>
      </w:r>
    </w:p>
    <w:p w14:paraId="008CECA8"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Pretende este estudo demonstrar de forma cabal a plena plausibilidade jurídica da </w:t>
      </w:r>
      <w:hyperlink r:id="rId10" w:history="1">
        <w:r w:rsidRPr="00D34891">
          <w:rPr>
            <w:rFonts w:ascii="Helvetica" w:eastAsia="Times New Roman" w:hAnsi="Helvetica" w:cs="Helvetica"/>
            <w:color w:val="0C6BD1"/>
            <w:szCs w:val="24"/>
            <w:u w:val="single"/>
            <w:lang w:eastAsia="pt-BR"/>
          </w:rPr>
          <w:t>aposentadoria</w:t>
        </w:r>
      </w:hyperlink>
      <w:r w:rsidRPr="00D34891">
        <w:rPr>
          <w:rFonts w:ascii="Helvetica" w:eastAsia="Times New Roman" w:hAnsi="Helvetica" w:cs="Helvetica"/>
          <w:color w:val="333333"/>
          <w:szCs w:val="24"/>
          <w:lang w:eastAsia="pt-BR"/>
        </w:rPr>
        <w:t> especial aos 25 (vinte e cinco) anos de serviço/contribuição do </w:t>
      </w:r>
      <w:hyperlink r:id="rId11" w:history="1">
        <w:r w:rsidRPr="00D34891">
          <w:rPr>
            <w:rFonts w:ascii="Helvetica" w:eastAsia="Times New Roman" w:hAnsi="Helvetica" w:cs="Helvetica"/>
            <w:color w:val="0C6BD1"/>
            <w:szCs w:val="24"/>
            <w:u w:val="single"/>
            <w:lang w:eastAsia="pt-BR"/>
          </w:rPr>
          <w:t>servidor público</w:t>
        </w:r>
      </w:hyperlink>
      <w:r w:rsidRPr="00D34891">
        <w:rPr>
          <w:rFonts w:ascii="Helvetica" w:eastAsia="Times New Roman" w:hAnsi="Helvetica" w:cs="Helvetica"/>
          <w:color w:val="333333"/>
          <w:szCs w:val="24"/>
          <w:lang w:eastAsia="pt-BR"/>
        </w:rPr>
        <w:t> que tenha exercido suas atividades sob exposição de agentes nocivos á saúde, caracterizando-se a insalubridade ou a periculosidade no exercício de suas funções.</w:t>
      </w:r>
    </w:p>
    <w:p w14:paraId="395F905F"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O tema era ainda controvertido, pela inexistência de Lei que regulamentasse a matéria desde a promulgação da Constituição de 1988, surgindo, pois, uma lacuna legislativa, como adiante veremos.</w:t>
      </w:r>
    </w:p>
    <w:p w14:paraId="22324DDA"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O art. 40, §4º, III da Constituição da República, na redação conferida pela EC 47/05, estabelece exceções às regras gerais de aposentadoria dos servidores públicos, nos seguintes termos:</w:t>
      </w:r>
    </w:p>
    <w:p w14:paraId="7EE1721E"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 4º É vedada a </w:t>
      </w:r>
      <w:hyperlink r:id="rId12" w:history="1">
        <w:r w:rsidRPr="00D34891">
          <w:rPr>
            <w:rFonts w:ascii="Helvetica" w:eastAsia="Times New Roman" w:hAnsi="Helvetica" w:cs="Helvetica"/>
            <w:color w:val="0C6BD1"/>
            <w:szCs w:val="24"/>
            <w:u w:val="single"/>
            <w:lang w:eastAsia="pt-BR"/>
          </w:rPr>
          <w:t>adoção</w:t>
        </w:r>
      </w:hyperlink>
      <w:r w:rsidRPr="00D34891">
        <w:rPr>
          <w:rFonts w:ascii="Helvetica" w:eastAsia="Times New Roman" w:hAnsi="Helvetica" w:cs="Helvetica"/>
          <w:color w:val="707070"/>
          <w:szCs w:val="24"/>
          <w:lang w:eastAsia="pt-BR"/>
        </w:rPr>
        <w:t> de requisitos e critérios diferenciados para a concessão de aposentadoria aos abrangidos pelo regime de que trata este artigo,ressalvados, nos termos definidos em leis complementares, os casos de servidores:</w:t>
      </w:r>
    </w:p>
    <w:p w14:paraId="29E3E582"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I portadores de deficiência;</w:t>
      </w:r>
    </w:p>
    <w:p w14:paraId="26E86267"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II que exerçam atividades de risco;</w:t>
      </w:r>
    </w:p>
    <w:p w14:paraId="3C13C968" w14:textId="77777777" w:rsidR="00D34891" w:rsidRPr="00D34891" w:rsidRDefault="00D34891" w:rsidP="00D34891">
      <w:pPr>
        <w:shd w:val="clear" w:color="auto" w:fill="FFFFFF"/>
        <w:spacing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III cujas atividades sejam exercidas sob condições especiais que prejudiquem a saúde ou a integridade física.”</w:t>
      </w:r>
    </w:p>
    <w:p w14:paraId="5E227944"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 xml:space="preserve">Ocorre que as leis complementares citadas no referido dispositivo constitucional não foram editadas, situação que vem impedindo a concessão do </w:t>
      </w:r>
      <w:r w:rsidRPr="00D34891">
        <w:rPr>
          <w:rFonts w:ascii="Helvetica" w:eastAsia="Times New Roman" w:hAnsi="Helvetica" w:cs="Helvetica"/>
          <w:color w:val="333333"/>
          <w:szCs w:val="24"/>
          <w:lang w:eastAsia="pt-BR"/>
        </w:rPr>
        <w:lastRenderedPageBreak/>
        <w:t>benefício aos servidores destinatários da norma, em franco descumprimento ao comando do legislador constituinte derivado.</w:t>
      </w:r>
    </w:p>
    <w:p w14:paraId="6B93016A"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Por esse motivo, o Supremo Tribunal Federal vem determinando a integração da norma, em sede de mandado de injunção, a fim de determinar a aplicação subsidiária das normas do Regime Geral de Previdência Social aos servidores públicos que se enquadrem em uma das situações especificadas no art. 40, §4º da CF.</w:t>
      </w:r>
    </w:p>
    <w:p w14:paraId="01AA25F0"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Neste sentido, destaco o seguinte precedente do Supremo Tribunal Federal:</w:t>
      </w:r>
    </w:p>
    <w:p w14:paraId="777E2759"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“E M E N T A: MANDADO DE INJUNÇÃO – EMBARGOS DE DECLARAÇÃO RECEBIDOS COMO RECURSO DE AGRAVO– APOSENTADORIA ESPECIAL (CF, ART. 40, § 4º) –DECISÃO MONOCRÁTICA QUE CONCEDEU A ORDEM INJUNCIONAL, PARA, RECONHECIDO O ESTADO DEMORA LEGISLATIVA, GARANTIR, À PARTE IMPETRANTE,O DIREITO DE TER O SEU PEDIDO DE APOSENTADORIA ESPECIAL CONCRETAMENTE ANALISADO PELA AUTORIDADE ADMINISTRATIVA COMPETENTE,OBSERVADO, PARA TANTO, O QUE DISPÕE O ART. 57 DA</w:t>
      </w:r>
    </w:p>
    <w:p w14:paraId="3DB88642" w14:textId="77777777" w:rsidR="00D34891" w:rsidRPr="00D34891" w:rsidRDefault="00D34891" w:rsidP="00D34891">
      <w:pPr>
        <w:shd w:val="clear" w:color="auto" w:fill="FFFFFF"/>
        <w:spacing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LEI Nº 8.213/91 – DECISÃO QUE SE AJUSTA, NO PONTO, AOS PRECEDENTES DO SUPREMO TRIBUNAL FEDERAL,EM ESPECIAL O MI 721/DF, REL. MIN. MARCO AURÉLIO,E O MI 2.195 AGR/DF, REL. MIN. CÁRMEN LÚCIA. CONSEQÜENTE INVIABILIDADE DA POSTULAÇÃO RECURSAL – SUBSISTÊNCIA DOS FUNDAMENTOS QUE DÃO SUPORTE À DECISÃO RECORRIDA – RECURSO DE AGRAVO IMPROVIDO.(MI 1194 ED, Relator(a): Min. CELSO DE MELLO, Tribunal Pleno, julgado em 12/05/2011, DJe 098 DIVULG 24 05 2011 PUBLIC 25 05 2011 EMENT VOL 02529 01 PP 00023)</w:t>
      </w:r>
    </w:p>
    <w:p w14:paraId="6B0359D5"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Ressalte-se, ademais, que a aplicação subsidiária das normas do RGPS aos servidores públicos federais encontra expressa previsão no §12 do art. 40 da Carta da República:</w:t>
      </w:r>
    </w:p>
    <w:p w14:paraId="7A9A21A2" w14:textId="77777777" w:rsidR="00D34891" w:rsidRPr="00D34891" w:rsidRDefault="00D34891" w:rsidP="00D34891">
      <w:pPr>
        <w:shd w:val="clear" w:color="auto" w:fill="FFFFFF"/>
        <w:spacing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 12 Além do disposto neste artigo, o regime de previdência dos servidores públicos titulares de cargo efetivo observará, no que couber, os requisitos e critérios fixados para o regime geral de previdência social.</w:t>
      </w:r>
    </w:p>
    <w:p w14:paraId="06093B5E"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Sendo assim, mostra-se aplicável, enquanto não sobrevier norma específica regulando a </w:t>
      </w:r>
      <w:hyperlink r:id="rId13" w:history="1">
        <w:r w:rsidRPr="00D34891">
          <w:rPr>
            <w:rFonts w:ascii="Helvetica" w:eastAsia="Times New Roman" w:hAnsi="Helvetica" w:cs="Helvetica"/>
            <w:color w:val="0C6BD1"/>
            <w:szCs w:val="24"/>
            <w:u w:val="single"/>
            <w:lang w:eastAsia="pt-BR"/>
          </w:rPr>
          <w:t>aposentadoria especial</w:t>
        </w:r>
      </w:hyperlink>
      <w:r w:rsidRPr="00D34891">
        <w:rPr>
          <w:rFonts w:ascii="Helvetica" w:eastAsia="Times New Roman" w:hAnsi="Helvetica" w:cs="Helvetica"/>
          <w:color w:val="333333"/>
          <w:szCs w:val="24"/>
          <w:lang w:eastAsia="pt-BR"/>
        </w:rPr>
        <w:t> dos servidores públicos, o disposto no art. 57 da Lei 8.213/91, no que couber.</w:t>
      </w:r>
    </w:p>
    <w:p w14:paraId="2B372DD6"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Já o parágrafo 1º do artigo 57 da Lei 8.213/91, dispõe que:</w:t>
      </w:r>
    </w:p>
    <w:p w14:paraId="7EE6366B"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Art. 57 - A aposentadoria especial será devida, uma vez cumprida a carência exigida nesta Lei, ao segurado que tiver trabalhado sujeito a condições especiais que prejudiquem a saúde ou a integridade física, durante 15 (quinze), 20 (vinte) ou 25 (vinte e cinco) anos, conforme dispuser a lei.</w:t>
      </w:r>
    </w:p>
    <w:p w14:paraId="60C2923E" w14:textId="77777777" w:rsidR="00D34891" w:rsidRPr="00D34891" w:rsidRDefault="00D34891" w:rsidP="00D34891">
      <w:pPr>
        <w:shd w:val="clear" w:color="auto" w:fill="FFFFFF"/>
        <w:spacing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lastRenderedPageBreak/>
        <w:t>§ 1º - A aposentadoria especial, observado o disposto no art. 33 desta Lei, consistirá numa renda mensal equivalente a 100% (cem por cento) do salário de benefício.</w:t>
      </w:r>
    </w:p>
    <w:p w14:paraId="2371399B"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Com efeito, o servidor ocupante de cargo cujas atribuições estejam sujeitas a exposição a agentes nocivos, e uma vez demonstrada tal exposição, faz jus a aposentadoria especial conforme as regras aplicadas aos segurados da Previdência Social, vinculados ao RGPS – Regime Geral de Previdência Social, com aplicação analógica daquela norma.</w:t>
      </w:r>
    </w:p>
    <w:p w14:paraId="49BBA40F"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Ressalte-se, contudo, que não se faz necessária a apresentação do formulário e do laudo técnico previstos no art. 58, §1º da Lei 8.213/91 para fins de comprovação do tempo de trabalho exercido sob condições especiais prejudiciais à saúde ou à integridade física, tendo em vista que estes documentos não são expedidos pelos órgãos públicos, por falta de previsão legal.</w:t>
      </w:r>
    </w:p>
    <w:p w14:paraId="3E91A87E"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Assim, a percepção do adicional de insalubridade ou periculosidade é suficiente para esta comprovação, uma vez que o art. 68 da Lei 8.112/91 estabelece que a vantagem somente é devida aos servidores que trabalhem com habitualidade em locais insalubres ou em contato permanente com substâncias tóxicas, o que atende ao requisito previsto no inciso III do §4º do art. 40 da CF.</w:t>
      </w:r>
    </w:p>
    <w:p w14:paraId="74F9C9D4"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Em hipótese análoga à aqui versada, assim se manifestou o TRF da 5ª Região:</w:t>
      </w:r>
    </w:p>
    <w:p w14:paraId="2DC0C4F9"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“MANDADO DE SEGURANÇA. APOSENTADORIA ESPECIAL. MÉDICO PERITO DO INSS. MANDADO DE INJUNÇÃO IMPETRADO JUNTO AO STF. PEDIDO DE APOSENTADORIA ESPECIAL APRECIADO À LUZ DO ART.</w:t>
      </w:r>
    </w:p>
    <w:p w14:paraId="57516124"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57 DA LEI Nº 8.213/91. PRELIMINAR DE INADEQUAÇÃO DA VIA ELEITA REJEITADA. PROVA PRÉ CONSTITUÍDA.ATIVIDADE INSALUBRE.</w:t>
      </w:r>
    </w:p>
    <w:p w14:paraId="6808965D"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 O mandado de injunção impetrado pelo requerente junto ao STF em face do Presidente da República apenas permitiu que a pretensão de aposentadoria especial do impetrante, à falta de edição da lei complementar, fosse apreciada à luz do artigo 57 da Lei nº 8.213/91, reconhecendo se a mora da iniciativa legislativa quanto à matéria. Preliminar de inadequação da via eleita que se rejeita.</w:t>
      </w:r>
    </w:p>
    <w:p w14:paraId="2C7D6A64" w14:textId="77777777" w:rsidR="00D34891" w:rsidRPr="00D34891" w:rsidRDefault="00D34891" w:rsidP="00D34891">
      <w:pPr>
        <w:shd w:val="clear" w:color="auto" w:fill="FFFFFF"/>
        <w:spacing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 xml:space="preserve">O cargo de médico enquadra-se no elenco de atividades profissionais previstas no anexo do Dec. nº 53.831/64, código 2.1.3, bem como no Dec. nº 83.080/79, código 1.3.4 (anexo I), ficando demonstrado nos autos, com base em ato interno expedido pela própria autarquia (Orientação Interna nº01/INSS/DRH, de 19 de janeiro de 2009, fls. 279) e ante a demonstração de recebimento de adicional de insalubridade nos contracheques colacionados nos autos,que o impetrante continua desempenhando sua atividades profissionais em ambiente insalubre, fazendo jus, portanto, à aposentadoria especial vindicada, eis que conta com mais de 25 anos de tempo de serviço prestado como médico perito junto ao INSS, conforme certidão de tempo de serviço acostada aos autos. </w:t>
      </w:r>
      <w:r w:rsidRPr="00D34891">
        <w:rPr>
          <w:rFonts w:ascii="Helvetica" w:eastAsia="Times New Roman" w:hAnsi="Helvetica" w:cs="Helvetica"/>
          <w:color w:val="707070"/>
          <w:szCs w:val="24"/>
          <w:lang w:eastAsia="pt-BR"/>
        </w:rPr>
        <w:lastRenderedPageBreak/>
        <w:t>Instituída a aposentadoria após a promulgação da EC nº 41/2003, a qual extingui com a regra da paridade ou da integralidade das aposentadorias e pensões de seus dependentes em relação aos servidores da ativa, o referido beneficio deve observar as suas disposições. Apelação do INSS não provida. Remessa oficial parcialmente provida apenas. para que se observe na instituição da aposentadoria a EC nº 41/2003.” (APELREEX 200983000197285; 4ª Turma;Rel. Desembargador Federal Frederico Dantas; DJE Data::19/05/2011);</w:t>
      </w:r>
    </w:p>
    <w:p w14:paraId="62675ACA"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Destaque-se que a aposentadoria especial do autor deverá ser calculada com base nas regras permanentes do art. 40 da Carta da República, em especial os parágrafos 3º e 17, que preveem o cálculo do benefício pela média das remunerações, devidamente atualizadas, normas que, ademais, reproduzem a disciplina constitucional aplicável aos benefícios do RGPS, cuja aplicação subsidiária ora se postula.</w:t>
      </w:r>
    </w:p>
    <w:p w14:paraId="3212D6C5"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Pois bem, conjugando os dois dispositivos legais invocados, temos que o também o servidor público que trabalhou por 25 anos sob condições insalubres faz jus a aposentadoria especial com proventos integrais, na esteira da dicção do STF.</w:t>
      </w:r>
    </w:p>
    <w:p w14:paraId="17C5FFD0"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Confira-se a Ementa do primeiro julgado do STF sobre o thema:</w:t>
      </w:r>
    </w:p>
    <w:p w14:paraId="21F3838A"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DJe-182 DIVULG 25-09-2008 PUBLIC 26-09-2008</w:t>
      </w:r>
    </w:p>
    <w:p w14:paraId="160A08B9"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EMENT VOL-02334-01 PP-00037 RDECTRAB v. 15, n. 174, 2009, p. 157-167</w:t>
      </w:r>
    </w:p>
    <w:p w14:paraId="19FD4E8B" w14:textId="77777777" w:rsidR="00D34891" w:rsidRPr="00D34891" w:rsidRDefault="00D34891" w:rsidP="00D34891">
      <w:pPr>
        <w:shd w:val="clear" w:color="auto" w:fill="FFFFFF"/>
        <w:spacing w:after="288"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MANDADO DE INJUNÇÃO - NATUREZA. Conforme disposto no inciso LXXI do artigo 5º da Constituição Federal, conceder-se-á mandado de injunção quando necessário ao exercício dos direitos e liberdades constitucionais e das prerrogativas inerentes à nacionalidade, à soberania e à cidadania. Há ação mandamental e não simplesmente declaratória de omissão. A carga de declaração não é objeto da impetração, mas premissa da ordem a ser formalizada. MANDADO DE INJUNÇÃO - DECISÃO - BALIZAS. Tratando-se de </w:t>
      </w:r>
      <w:hyperlink r:id="rId14" w:history="1">
        <w:r w:rsidRPr="00D34891">
          <w:rPr>
            <w:rFonts w:ascii="Helvetica" w:eastAsia="Times New Roman" w:hAnsi="Helvetica" w:cs="Helvetica"/>
            <w:color w:val="0C6BD1"/>
            <w:szCs w:val="24"/>
            <w:u w:val="single"/>
            <w:lang w:eastAsia="pt-BR"/>
          </w:rPr>
          <w:t>processo</w:t>
        </w:r>
      </w:hyperlink>
      <w:r w:rsidRPr="00D34891">
        <w:rPr>
          <w:rFonts w:ascii="Helvetica" w:eastAsia="Times New Roman" w:hAnsi="Helvetica" w:cs="Helvetica"/>
          <w:color w:val="707070"/>
          <w:szCs w:val="24"/>
          <w:lang w:eastAsia="pt-BR"/>
        </w:rPr>
        <w:t> subjetivo, a decisão possui eficácia considerada a relação jurídica nele revelada. APOSENTADORIA - TRABALHO EM CONDIÇÕES ESPECIAIS - PREJUÍZO À SAÚDE DO SERVIDOR - INEXISTÊNCIA DE LEI COMPLEMENTAR - ARTIGO 40, § 4º, DA CONSTITUIÇÃO FEDERAL. Inexistente a disciplina específica da aposentadoria especial do servidor, impõe-se a adoção, via pronunciamento judicial, daquela própria aos trabalhadores em geral - artigo 57, § 1º, da Lei nº 8.213/91.</w:t>
      </w:r>
    </w:p>
    <w:p w14:paraId="25BAD9DA" w14:textId="77777777" w:rsidR="00D34891" w:rsidRPr="00D34891" w:rsidRDefault="00D34891" w:rsidP="00D34891">
      <w:pPr>
        <w:shd w:val="clear" w:color="auto" w:fill="FFFFFF"/>
        <w:spacing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b/>
          <w:bCs/>
          <w:color w:val="707070"/>
          <w:szCs w:val="24"/>
          <w:lang w:eastAsia="pt-BR"/>
        </w:rPr>
        <w:t>Decisão: </w:t>
      </w:r>
      <w:r w:rsidRPr="00D34891">
        <w:rPr>
          <w:rFonts w:ascii="Helvetica" w:eastAsia="Times New Roman" w:hAnsi="Helvetica" w:cs="Helvetica"/>
          <w:color w:val="707070"/>
          <w:szCs w:val="24"/>
          <w:lang w:eastAsia="pt-BR"/>
        </w:rPr>
        <w:t>O Tribunal, por unanimidade e nos termos do voto do relator, deferiu o mandado de injunção. Ausentes, justificadamente, os Senhores Ministros Celso de Mello, Cezar Peluso, Eros Grau e Menezes Direito. Presidiu o julgamento o Senhor Ministro Gilmar Mendes. Plenário, 01.07.2008.</w:t>
      </w:r>
    </w:p>
    <w:p w14:paraId="0C44523F"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Com a proliferação das impetrações de Mandados de Injunção sobre a mesma questão, sobreveio autorização do Plenário do STF no sentido de que os Ministros relatores decidissem definitiva e monocraticamente os casos idênticos.</w:t>
      </w:r>
    </w:p>
    <w:p w14:paraId="3413EA64"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lastRenderedPageBreak/>
        <w:t>Tal fato culminou agora com a Proposta de edição de Sumula Vinculante PSV 45-8/927, com o seguinte teor:</w:t>
      </w:r>
    </w:p>
    <w:p w14:paraId="7B13DE4F" w14:textId="77777777" w:rsidR="00D34891" w:rsidRPr="00D34891" w:rsidRDefault="00D34891" w:rsidP="00D34891">
      <w:pPr>
        <w:shd w:val="clear" w:color="auto" w:fill="FFFFFF"/>
        <w:spacing w:line="240" w:lineRule="auto"/>
        <w:ind w:firstLine="480"/>
        <w:jc w:val="both"/>
        <w:rPr>
          <w:rFonts w:ascii="Helvetica" w:eastAsia="Times New Roman" w:hAnsi="Helvetica" w:cs="Helvetica"/>
          <w:color w:val="707070"/>
          <w:szCs w:val="24"/>
          <w:lang w:eastAsia="pt-BR"/>
        </w:rPr>
      </w:pPr>
      <w:r w:rsidRPr="00D34891">
        <w:rPr>
          <w:rFonts w:ascii="Helvetica" w:eastAsia="Times New Roman" w:hAnsi="Helvetica" w:cs="Helvetica"/>
          <w:color w:val="707070"/>
          <w:szCs w:val="24"/>
          <w:lang w:eastAsia="pt-BR"/>
        </w:rPr>
        <w:t>“ Enquanto inexistente a disciplina específica sobre aposentadoria especial do servidor público, nos termos do artigo 40 § 4º da Constituição Federal, com redação da Emenda Constitucional n. 47/2005, impõe-se a adoção daquela própria aos trabalhadores em geral (artigo 57, § 1º da Lei n. 8.213/91)”</w:t>
      </w:r>
    </w:p>
    <w:p w14:paraId="444470B0" w14:textId="77777777" w:rsidR="00D34891" w:rsidRPr="00D34891" w:rsidRDefault="00D34891" w:rsidP="00D34891">
      <w:pPr>
        <w:shd w:val="clear" w:color="auto" w:fill="FFFFFF"/>
        <w:spacing w:after="288" w:line="240" w:lineRule="auto"/>
        <w:ind w:firstLine="840"/>
        <w:jc w:val="both"/>
        <w:rPr>
          <w:rFonts w:ascii="Helvetica" w:eastAsia="Times New Roman" w:hAnsi="Helvetica" w:cs="Helvetica"/>
          <w:color w:val="333333"/>
          <w:szCs w:val="24"/>
          <w:lang w:eastAsia="pt-BR"/>
        </w:rPr>
      </w:pPr>
      <w:r w:rsidRPr="00D34891">
        <w:rPr>
          <w:rFonts w:ascii="Helvetica" w:eastAsia="Times New Roman" w:hAnsi="Helvetica" w:cs="Helvetica"/>
          <w:color w:val="333333"/>
          <w:szCs w:val="24"/>
          <w:lang w:eastAsia="pt-BR"/>
        </w:rPr>
        <w:t>Está, portanto, consagrado no Supremo Tribunal Federal que, até que sobrevenha disciplina específica destinada aos servidores públicos, adotam-se para fins de aposentadoria especial os critérios do Regime Geral de Previdência Social – RGPS, em conjunto com as regras próprias dos servidores públicos.</w:t>
      </w:r>
    </w:p>
    <w:p w14:paraId="10A3F0AC" w14:textId="212FD7AC" w:rsidR="0074302C" w:rsidRDefault="00290C1E" w:rsidP="00D34891">
      <w:pPr>
        <w:jc w:val="both"/>
      </w:pPr>
      <w:r>
        <w:t>@@@@@@@@@@@@@</w:t>
      </w:r>
    </w:p>
    <w:p w14:paraId="18069750" w14:textId="77777777" w:rsidR="00290C1E" w:rsidRDefault="00290C1E" w:rsidP="00290C1E">
      <w:pPr>
        <w:pStyle w:val="Ttulo3"/>
        <w:shd w:val="clear" w:color="auto" w:fill="FFFFFF"/>
        <w:spacing w:before="480" w:after="240"/>
        <w:rPr>
          <w:rFonts w:ascii="Arial" w:hAnsi="Arial" w:cs="Arial"/>
          <w:caps/>
          <w:color w:val="468847"/>
          <w:sz w:val="35"/>
          <w:szCs w:val="35"/>
        </w:rPr>
      </w:pPr>
      <w:r>
        <w:rPr>
          <w:rStyle w:val="Forte"/>
          <w:rFonts w:ascii="Arial" w:hAnsi="Arial" w:cs="Arial"/>
          <w:b w:val="0"/>
          <w:bCs w:val="0"/>
          <w:caps/>
          <w:color w:val="468847"/>
          <w:sz w:val="35"/>
          <w:szCs w:val="35"/>
        </w:rPr>
        <w:t>INTRODUÇÃO</w:t>
      </w:r>
    </w:p>
    <w:p w14:paraId="4FE78432"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O instituto da aposentadoria especial do </w:t>
      </w:r>
      <w:hyperlink r:id="rId15" w:history="1">
        <w:r>
          <w:rPr>
            <w:rStyle w:val="Hyperlink"/>
            <w:rFonts w:ascii="Helvetica" w:hAnsi="Helvetica" w:cs="Helvetica"/>
            <w:color w:val="0C6BD1"/>
          </w:rPr>
          <w:t>servidor público</w:t>
        </w:r>
      </w:hyperlink>
      <w:r>
        <w:rPr>
          <w:rFonts w:ascii="Helvetica" w:hAnsi="Helvetica" w:cs="Helvetica"/>
          <w:color w:val="333333"/>
        </w:rPr>
        <w:t> tem indiscutível relevância, sobretudo, em um ordenamento jurídico cuja norma que lhe empresta validade tem na isonomia um de seus princípios fundamentais. Assim, diante do pleito desesperado de um número alarmante de servidores públicos que, ante a omissão legislativa, socorriam-se do Poder Judiciário a fim de, em sede de Mandado de Injunção, ter assegurado seu </w:t>
      </w:r>
      <w:hyperlink r:id="rId16" w:history="1">
        <w:r>
          <w:rPr>
            <w:rStyle w:val="Hyperlink"/>
            <w:rFonts w:ascii="Helvetica" w:hAnsi="Helvetica" w:cs="Helvetica"/>
            <w:color w:val="0C6BD1"/>
          </w:rPr>
          <w:t>direito constitucional</w:t>
        </w:r>
      </w:hyperlink>
      <w:r>
        <w:rPr>
          <w:rFonts w:ascii="Helvetica" w:hAnsi="Helvetica" w:cs="Helvetica"/>
          <w:color w:val="333333"/>
        </w:rPr>
        <w:t> de usufruir do merecido descanso remunerado, é que surge a </w:t>
      </w:r>
      <w:hyperlink r:id="rId17" w:history="1">
        <w:r>
          <w:rPr>
            <w:rStyle w:val="Hyperlink"/>
            <w:rFonts w:ascii="Helvetica" w:hAnsi="Helvetica" w:cs="Helvetica"/>
            <w:color w:val="0C6BD1"/>
          </w:rPr>
          <w:t>súmula vinculante</w:t>
        </w:r>
      </w:hyperlink>
      <w:r>
        <w:rPr>
          <w:rFonts w:ascii="Helvetica" w:hAnsi="Helvetica" w:cs="Helvetica"/>
          <w:color w:val="333333"/>
        </w:rPr>
        <w:t> nº. 33. Com sua entrada em vigor aquele servidor que exerce atividade insalubre ou perigosa, não mais carecerá provocar o Judiciário com o intuito de aposentar-se na modalidade especial, mesmo ainda inexistindo a Lei Complementar exigida pela Constituição da República. Todavia, não são todas as categorias de servidores públicos as quais poderão invocar o poder vinculante da referida súmula, apenas aquelas as quais exercerem suas atividades nos termos da legislação aplicável conforme determinado pelo verbete mencionado. Além disso, os critérios para a concessão desta modalidade de aposentadoria, são distintos daqueles exigidos para aposentadoria voluntária comum.</w:t>
      </w:r>
    </w:p>
    <w:p w14:paraId="7FC74B7A" w14:textId="77777777" w:rsidR="00290C1E" w:rsidRDefault="00290C1E" w:rsidP="00290C1E">
      <w:pPr>
        <w:spacing w:before="300" w:after="300"/>
        <w:rPr>
          <w:rFonts w:ascii="Times New Roman" w:hAnsi="Times New Roman" w:cs="Times New Roman"/>
        </w:rPr>
      </w:pPr>
      <w:r>
        <w:pict w14:anchorId="4DA55DFB">
          <v:rect id="_x0000_i1025" style="width:0;height:0" o:hralign="center" o:hrstd="t" o:hrnoshade="t" o:hr="t" fillcolor="#333" stroked="f"/>
        </w:pict>
      </w:r>
    </w:p>
    <w:p w14:paraId="1BA774F1" w14:textId="77777777" w:rsidR="00290C1E" w:rsidRDefault="00290C1E" w:rsidP="00290C1E">
      <w:pPr>
        <w:pStyle w:val="Ttulo3"/>
        <w:shd w:val="clear" w:color="auto" w:fill="FFFFFF"/>
        <w:spacing w:before="480" w:after="240"/>
        <w:rPr>
          <w:rFonts w:ascii="Arial" w:hAnsi="Arial" w:cs="Arial"/>
          <w:caps/>
          <w:color w:val="468847"/>
          <w:sz w:val="35"/>
          <w:szCs w:val="35"/>
        </w:rPr>
      </w:pPr>
      <w:r>
        <w:rPr>
          <w:rStyle w:val="Forte"/>
          <w:rFonts w:ascii="Arial" w:hAnsi="Arial" w:cs="Arial"/>
          <w:b w:val="0"/>
          <w:bCs w:val="0"/>
          <w:caps/>
          <w:color w:val="468847"/>
          <w:sz w:val="35"/>
          <w:szCs w:val="35"/>
        </w:rPr>
        <w:t>1. APOSENTADORIA DO SERVIDOR PÚBLICO</w:t>
      </w:r>
    </w:p>
    <w:p w14:paraId="023E1181"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Certo é que ao tratar da aposentadoria do servidor público, a Constituição da República Federativa do Brasil (CRFB) de 1988 admite tanto a aposentadoria pelo “regime próprio ou peculiar” – reservada somente aos servidores ocupantes de cargos públicos efetivos</w:t>
      </w:r>
      <w:r>
        <w:rPr>
          <w:rStyle w:val="Forte"/>
          <w:rFonts w:ascii="Helvetica" w:hAnsi="Helvetica" w:cs="Helvetica"/>
          <w:color w:val="333333"/>
        </w:rPr>
        <w:t>[1]</w:t>
      </w:r>
      <w:r>
        <w:rPr>
          <w:rFonts w:ascii="Helvetica" w:hAnsi="Helvetica" w:cs="Helvetica"/>
          <w:color w:val="333333"/>
        </w:rPr>
        <w:t> -, quanto a aposentadoria sujeita ao Regime Geral de Previdência Social (RGPS) – reservada aos ocupantes de cargos públicos em comissão, função temporária e emprego público (Art. 40,§ 13, CRFB/88). Neste brevíssimo estudo, trataremos unicamente do regime peculiar previsto no Art. 40, caput, CRFB/88.</w:t>
      </w:r>
    </w:p>
    <w:p w14:paraId="22322E13" w14:textId="77777777" w:rsidR="00290C1E" w:rsidRDefault="00290C1E" w:rsidP="00290C1E">
      <w:pPr>
        <w:pStyle w:val="Ttulo4"/>
        <w:shd w:val="clear" w:color="auto" w:fill="FFFFFF"/>
        <w:spacing w:before="480" w:after="240"/>
        <w:rPr>
          <w:rFonts w:ascii="Arial" w:hAnsi="Arial" w:cs="Arial"/>
          <w:caps/>
          <w:color w:val="468847"/>
          <w:sz w:val="31"/>
          <w:szCs w:val="31"/>
        </w:rPr>
      </w:pPr>
      <w:r>
        <w:rPr>
          <w:rFonts w:ascii="Arial" w:hAnsi="Arial" w:cs="Arial"/>
          <w:b/>
          <w:bCs/>
          <w:caps/>
          <w:color w:val="468847"/>
          <w:sz w:val="31"/>
          <w:szCs w:val="31"/>
        </w:rPr>
        <w:lastRenderedPageBreak/>
        <w:t>1.1. CONCEITO</w:t>
      </w:r>
    </w:p>
    <w:p w14:paraId="7A1E48D2"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Aposentadoria é a garantia de inatividade remunerada</w:t>
      </w:r>
      <w:r>
        <w:rPr>
          <w:rFonts w:ascii="Helvetica" w:hAnsi="Helvetica" w:cs="Helvetica"/>
          <w:color w:val="333333"/>
          <w:sz w:val="18"/>
          <w:szCs w:val="18"/>
          <w:vertAlign w:val="superscript"/>
        </w:rPr>
        <w:t>[2]</w:t>
      </w:r>
      <w:r>
        <w:rPr>
          <w:rFonts w:ascii="Helvetica" w:hAnsi="Helvetica" w:cs="Helvetica"/>
          <w:color w:val="333333"/>
        </w:rPr>
        <w:t> ao servidor público que atender aos requisitos do regime próprio de caráter contributivo e solidário. Logo, trata-se de regime com características muito peculiares. Na verdade, é nítido o esmero do constituinte em traçar critérios e requisitos mínimos capazes de assegurar a isonomia, a razoabilidade e a valorização devida ao servidor público que ofertou ao Estado sua força de trabalho, fazendo mover a máquina pública, possibilitando a oferta do serviço público ao contribuinte. Por tal razão, fez constar vedação expressa a fim de extirpar do ordenamento jurídico pátrio qualquer tentativa de violação à isonomia (Art. 40, § 4º, CRFB/88). Nada mais razoável e acertado.</w:t>
      </w:r>
    </w:p>
    <w:p w14:paraId="76DCA0CA"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Todavia, desde Aristóteles, é concebido o primitivo conceito de justiça e igualdade material que destaca a necessidade de se atribuir tratamento igual aos iguais e desigual aos desiguais. Foi neste sentido que o constituinte, por meio da EC/47, realizando uma adequação do Texto Constitucional de 1988, fez constar expressamente em seu Art. 40, § 4º, segunda parte, a importante exceção pela qual é possível, mediante edição de Lei Complementar, a </w:t>
      </w:r>
      <w:hyperlink r:id="rId18" w:history="1">
        <w:r>
          <w:rPr>
            <w:rStyle w:val="Hyperlink"/>
            <w:rFonts w:ascii="Helvetica" w:hAnsi="Helvetica" w:cs="Helvetica"/>
            <w:color w:val="0C6BD1"/>
          </w:rPr>
          <w:t>adoção</w:t>
        </w:r>
      </w:hyperlink>
      <w:r>
        <w:rPr>
          <w:rFonts w:ascii="Helvetica" w:hAnsi="Helvetica" w:cs="Helvetica"/>
          <w:color w:val="333333"/>
        </w:rPr>
        <w:t> de critérios específicos e distintos para a aposentadoria de servidores portadores de deficiência, que exerçam atividades de risco ou </w:t>
      </w:r>
      <w:r>
        <w:rPr>
          <w:rStyle w:val="Forte"/>
          <w:rFonts w:ascii="Helvetica" w:hAnsi="Helvetica" w:cs="Helvetica"/>
          <w:color w:val="333333"/>
        </w:rPr>
        <w:t>cujas atividades sejam exercidas sob condições especiais que prejudiquem a saúde ou a integridade física. </w:t>
      </w:r>
      <w:r>
        <w:rPr>
          <w:rFonts w:ascii="Helvetica" w:hAnsi="Helvetica" w:cs="Helvetica"/>
          <w:color w:val="333333"/>
        </w:rPr>
        <w:t>Esta é a chamada aposentadoria especial da qual passaremos a tratar agora.</w:t>
      </w:r>
    </w:p>
    <w:p w14:paraId="09115302" w14:textId="77777777" w:rsidR="00290C1E" w:rsidRDefault="00290C1E" w:rsidP="00290C1E">
      <w:pPr>
        <w:spacing w:before="300" w:after="300"/>
        <w:rPr>
          <w:rFonts w:ascii="Times New Roman" w:hAnsi="Times New Roman" w:cs="Times New Roman"/>
        </w:rPr>
      </w:pPr>
      <w:r>
        <w:pict w14:anchorId="5C134EB5">
          <v:rect id="_x0000_i1026" style="width:0;height:0" o:hralign="center" o:hrstd="t" o:hrnoshade="t" o:hr="t" fillcolor="#333" stroked="f"/>
        </w:pict>
      </w:r>
    </w:p>
    <w:p w14:paraId="78AA1D4F" w14:textId="77777777" w:rsidR="00290C1E" w:rsidRDefault="00290C1E" w:rsidP="00290C1E">
      <w:pPr>
        <w:pStyle w:val="Ttulo3"/>
        <w:shd w:val="clear" w:color="auto" w:fill="FFFFFF"/>
        <w:spacing w:before="480" w:after="240"/>
        <w:rPr>
          <w:rFonts w:ascii="Arial" w:hAnsi="Arial" w:cs="Arial"/>
          <w:caps/>
          <w:color w:val="468847"/>
          <w:sz w:val="35"/>
          <w:szCs w:val="35"/>
        </w:rPr>
      </w:pPr>
      <w:r>
        <w:rPr>
          <w:rStyle w:val="Forte"/>
          <w:rFonts w:ascii="Arial" w:hAnsi="Arial" w:cs="Arial"/>
          <w:b w:val="0"/>
          <w:bCs w:val="0"/>
          <w:caps/>
          <w:color w:val="468847"/>
          <w:sz w:val="35"/>
          <w:szCs w:val="35"/>
        </w:rPr>
        <w:t>2. APOSENTADORIA ESPECIAL</w:t>
      </w:r>
    </w:p>
    <w:p w14:paraId="313358A2"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Esta modalidade de aposentadoria do servidor público é especial justamente por abranger unicamente certas categorias de operários estatais cujas atividades ou condições pessoais, demandam, por si só, tratamento diferenciado sob pena de deplorável ofensa à isonomia. Dentre estas categorias, estão aquelas previstas no Art. 40, § 4, III, da CRFB/88, cujas atividades são exercidas sob condições que prejudicam à saúde ou à integridade física.</w:t>
      </w:r>
    </w:p>
    <w:p w14:paraId="19DC1F49"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Desta forma, a fim de assegurar tratamento isonômico a estas categorias, haja vista não ser razoável e justo exigir delas a exposição direta a agentes de altíssimo risco sem que de alguma forma lhes fosse compensado esse desequilíbrio, criou-se a possibilidade de se estabelecer, por Lei Complementar, critérios diferenciadores a fim de que pudessem usufruir de uma aposentadoria com tempo de serviço menor, reduzindo, assim, o tempo de exposição destes servidores aos agentes de risco.</w:t>
      </w:r>
    </w:p>
    <w:p w14:paraId="2CA90498"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 xml:space="preserve">Entretanto, como as tais Leis Complementares nunca foram editadas, a única alternativa aos servidores públicos sempre foi a de buscar socorro junto ao Poder Judiciário. O Supremo Tribunal Federal, por sua vez, como intérprete </w:t>
      </w:r>
      <w:r>
        <w:rPr>
          <w:rFonts w:ascii="Helvetica" w:hAnsi="Helvetica" w:cs="Helvetica"/>
          <w:color w:val="333333"/>
        </w:rPr>
        <w:lastRenderedPageBreak/>
        <w:t>máximo da Constituição, já vinha reconhecendo há certo tempo em sede de Mandado de Injunção (MI) o direito dos servidores públicos (federais, estaduais, distritais e municipais) à aposentadoria especial, aplicando por analogia o Art. 57 da Lei 8.213/1991</w:t>
      </w:r>
      <w:r>
        <w:rPr>
          <w:rFonts w:ascii="Helvetica" w:hAnsi="Helvetica" w:cs="Helvetica"/>
          <w:color w:val="333333"/>
          <w:sz w:val="18"/>
          <w:szCs w:val="18"/>
          <w:vertAlign w:val="superscript"/>
        </w:rPr>
        <w:t>[3]</w:t>
      </w:r>
      <w:r>
        <w:rPr>
          <w:rFonts w:ascii="Helvetica" w:hAnsi="Helvetica" w:cs="Helvetica"/>
          <w:color w:val="333333"/>
        </w:rPr>
        <w:t> (MI 721/DF, rel. Min. Marco Aurélio, 30.08.2007. No mesmo Sentido, dentre muitos outros; ARE-AgR 727.5431/MS, rel. Min. Marco Aurélio, 09.04.2013).</w:t>
      </w:r>
    </w:p>
    <w:p w14:paraId="6B220339" w14:textId="77777777" w:rsidR="00290C1E" w:rsidRDefault="00290C1E" w:rsidP="00290C1E">
      <w:pPr>
        <w:pStyle w:val="Ttulo4"/>
        <w:shd w:val="clear" w:color="auto" w:fill="FFFFFF"/>
        <w:spacing w:before="480" w:after="240"/>
        <w:rPr>
          <w:rFonts w:ascii="Arial" w:hAnsi="Arial" w:cs="Arial"/>
          <w:caps/>
          <w:color w:val="468847"/>
          <w:sz w:val="31"/>
          <w:szCs w:val="31"/>
        </w:rPr>
      </w:pPr>
      <w:r>
        <w:rPr>
          <w:rFonts w:ascii="Arial" w:hAnsi="Arial" w:cs="Arial"/>
          <w:b/>
          <w:bCs/>
          <w:caps/>
          <w:color w:val="468847"/>
          <w:sz w:val="31"/>
          <w:szCs w:val="31"/>
        </w:rPr>
        <w:t>2.1. SÚMULA VINCULANTE 33</w:t>
      </w:r>
    </w:p>
    <w:p w14:paraId="12E290E7"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Mais recentemente (09/04/2014), o Supremo Tribunal Federal, dada à quantidade alarmante de Mandados de Injunção - 4.892, segundo levantamento feito pelo Ministro do Supremo Tribunal Federal Teori Zavascki - tratando do tema, editou e publicou em 24/04/2014 a importante súmula vinculante nº. 33, a qual consolidou definitivamente o seu entendimento acerca do tema. In verbis:</w:t>
      </w:r>
    </w:p>
    <w:p w14:paraId="18DDB6AD" w14:textId="77777777" w:rsidR="00290C1E" w:rsidRDefault="00290C1E" w:rsidP="00290C1E">
      <w:pPr>
        <w:pStyle w:val="NormalWeb"/>
        <w:shd w:val="clear" w:color="auto" w:fill="FFFFFF"/>
        <w:spacing w:before="0" w:beforeAutospacing="0" w:after="288" w:afterAutospacing="0"/>
        <w:ind w:firstLine="480"/>
        <w:rPr>
          <w:rFonts w:ascii="Helvetica" w:hAnsi="Helvetica" w:cs="Helvetica"/>
          <w:color w:val="707070"/>
        </w:rPr>
      </w:pPr>
      <w:r>
        <w:rPr>
          <w:rStyle w:val="Forte"/>
          <w:rFonts w:ascii="Helvetica" w:hAnsi="Helvetica" w:cs="Helvetica"/>
          <w:color w:val="707070"/>
        </w:rPr>
        <w:t>Súmula Vinculante nº 33</w:t>
      </w:r>
    </w:p>
    <w:p w14:paraId="0CB5CCA3" w14:textId="77777777" w:rsidR="00290C1E" w:rsidRDefault="00290C1E" w:rsidP="00290C1E">
      <w:pPr>
        <w:pStyle w:val="NormalWeb"/>
        <w:shd w:val="clear" w:color="auto" w:fill="FFFFFF"/>
        <w:spacing w:before="0" w:beforeAutospacing="0" w:after="192" w:afterAutospacing="0"/>
        <w:ind w:firstLine="480"/>
        <w:rPr>
          <w:rFonts w:ascii="Helvetica" w:hAnsi="Helvetica" w:cs="Helvetica"/>
          <w:color w:val="707070"/>
        </w:rPr>
      </w:pPr>
      <w:r>
        <w:rPr>
          <w:rFonts w:ascii="Helvetica" w:hAnsi="Helvetica" w:cs="Helvetica"/>
          <w:color w:val="707070"/>
        </w:rPr>
        <w:t>“Aplicam-se ao servidor público, no que couber, as regras do regime geral da previdência social sobre aposentadoria especial de que trata o artigo 40, § 4º, inciso III da Constituição Federal, até a edição de lei complementar específica.”</w:t>
      </w:r>
    </w:p>
    <w:p w14:paraId="35784F20"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Com a edição da referida súmula pelo Supremo, cuja força vinculante alcança todos os demais órgãos do Poder Judiciário e a Administração Pública direita e indireta (Art. 103-A, caput, CRFB/88), fica assegurada a aposentadoria especial a todos os servidores públicos que </w:t>
      </w:r>
      <w:r>
        <w:rPr>
          <w:rStyle w:val="Forte"/>
          <w:rFonts w:ascii="Helvetica" w:hAnsi="Helvetica" w:cs="Helvetica"/>
          <w:color w:val="333333"/>
        </w:rPr>
        <w:t>tiverem trabalhado sujeitos a condições que prejudiquem a saúde ou a integridade física, durante 25 anos.</w:t>
      </w:r>
    </w:p>
    <w:p w14:paraId="63804428"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Portanto, a partir do dia 24/04/2014, absolutamente todos os servidores públicos cujas atividades forem perigosas ou insalubres, deverão – exatamente isso, trata-se de dever da Administração Pública federal, distrital, estadual e municipal -, atingidos 25 anos de efetivo exercício da respectiva atividade, aposentar o servidor público sob o regime especial.</w:t>
      </w:r>
    </w:p>
    <w:p w14:paraId="4AC3A1F3"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2.2. Tempo de Contribuição ou Tempo de Serviço?</w:t>
      </w:r>
    </w:p>
    <w:p w14:paraId="4E28C4F0"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 xml:space="preserve">Vale ressaltar que, em se tratando de aposentadoria especial, não há se falar em tempo de contribuição como critério precípuo para o reconhecimento de tal direito. Afinal, se o objetivo desta modalidade de aposentadoria é afastar precocemente o servidor do contato com os agentes de risco comprometedores de sua saúde ou integridade física, objetivando reduzir a dimensão dos danos sofridos por ele, qual seria o sentido de exigir outro senão o requisito de 25 anos de tempo de serviço na respectiva atividade? Logo, ao completar exatos 25 anos de exposição aos agentes de risco, independentemente do tempo de contribuição ou mesmo de idade mínima, fará jus o servidor público à aposentadoria especial. Isso se deve em virtude da necessária ponderação de valores constitucionais realizada entre o </w:t>
      </w:r>
      <w:r>
        <w:rPr>
          <w:rFonts w:ascii="Helvetica" w:hAnsi="Helvetica" w:cs="Helvetica"/>
          <w:color w:val="333333"/>
        </w:rPr>
        <w:lastRenderedPageBreak/>
        <w:t>equilíbrio e sustentabilidade do sistema previdenciário e a vida, saúde, integridade física e psicológica do servidor. Neste conflito, não restam dúvidas o acerto em se fazer preponderar a vida e a saúde.</w:t>
      </w:r>
    </w:p>
    <w:p w14:paraId="0D1806FA" w14:textId="77777777" w:rsidR="00290C1E" w:rsidRDefault="00290C1E" w:rsidP="00290C1E">
      <w:pPr>
        <w:spacing w:before="300" w:after="300"/>
        <w:rPr>
          <w:rFonts w:ascii="Times New Roman" w:hAnsi="Times New Roman" w:cs="Times New Roman"/>
        </w:rPr>
      </w:pPr>
      <w:r>
        <w:pict w14:anchorId="6BBF5E80">
          <v:rect id="_x0000_i1027" style="width:0;height:0" o:hralign="center" o:hrstd="t" o:hrnoshade="t" o:hr="t" fillcolor="#333" stroked="f"/>
        </w:pict>
      </w:r>
    </w:p>
    <w:p w14:paraId="6DD06BDA" w14:textId="77777777" w:rsidR="00290C1E" w:rsidRDefault="00290C1E" w:rsidP="00290C1E">
      <w:pPr>
        <w:pStyle w:val="Ttulo3"/>
        <w:shd w:val="clear" w:color="auto" w:fill="FFFFFF"/>
        <w:spacing w:before="480" w:after="240"/>
        <w:rPr>
          <w:rFonts w:ascii="Arial" w:hAnsi="Arial" w:cs="Arial"/>
          <w:caps/>
          <w:color w:val="468847"/>
          <w:sz w:val="35"/>
          <w:szCs w:val="35"/>
        </w:rPr>
      </w:pPr>
      <w:r>
        <w:rPr>
          <w:rStyle w:val="Forte"/>
          <w:rFonts w:ascii="Arial" w:hAnsi="Arial" w:cs="Arial"/>
          <w:b w:val="0"/>
          <w:bCs w:val="0"/>
          <w:caps/>
          <w:color w:val="468847"/>
          <w:sz w:val="35"/>
          <w:szCs w:val="35"/>
        </w:rPr>
        <w:t>3. QUEM TEM DIREITO À APOSENTADORIA AOS 25 ANOS</w:t>
      </w:r>
    </w:p>
    <w:p w14:paraId="6FC66B86"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Citando um dos maiores constitucionalista pátrios, José Afonso da Silva, a Ministra Cármen Lúcia do Supremo Tribunal Federal, explica que “’Insalubres’ são atividades que submetem seu exercente a permanente risco de contrair moléstias profissionais. ‘Perigosas’, quando o servidor, por suas atribuições, fica sujeito, no seu exercício, a permanente situação de risco de vida – como certas atividades policiais.” (MI 795-1/DF, rel. Min. Cármen Lúcia, 15/04/2009).</w:t>
      </w:r>
    </w:p>
    <w:p w14:paraId="2A17F216"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Portanto, não restam dúvidas, atividades como as de médicos, enfermeiros, bombeiros ou as que, de modo geral, </w:t>
      </w:r>
      <w:r>
        <w:rPr>
          <w:rStyle w:val="Forte"/>
          <w:rFonts w:ascii="Helvetica" w:hAnsi="Helvetica" w:cs="Helvetica"/>
          <w:color w:val="333333"/>
        </w:rPr>
        <w:t>exponham o servidor público a constante risco de contração de doenças e moléstias relacionadas ao exercício da atividade</w:t>
      </w:r>
      <w:r>
        <w:rPr>
          <w:rFonts w:ascii="Helvetica" w:hAnsi="Helvetica" w:cs="Helvetica"/>
          <w:color w:val="333333"/>
        </w:rPr>
        <w:t>, devem ser consideradas insalubres. De outro lado, as atividades como as policiais (polícia civil, militar, federal, rodoviária federal etc.), as de motoristas em grandes centros, ou </w:t>
      </w:r>
      <w:r>
        <w:rPr>
          <w:rStyle w:val="Forte"/>
          <w:rFonts w:ascii="Helvetica" w:hAnsi="Helvetica" w:cs="Helvetica"/>
          <w:color w:val="333333"/>
        </w:rPr>
        <w:t>as que, de alguma forma, sujeite o servidor, durante o seu exercício, ao risco de perda da própria vida ou comprometimento de sua integridade física,</w:t>
      </w:r>
      <w:r>
        <w:rPr>
          <w:rFonts w:ascii="Helvetica" w:hAnsi="Helvetica" w:cs="Helvetica"/>
          <w:color w:val="333333"/>
        </w:rPr>
        <w:t> deverão ser havidas como perigosas. Fazendo jus, assim, à aposentadoria especial aos 25 anos de serviço na respectiva atividade.</w:t>
      </w:r>
    </w:p>
    <w:p w14:paraId="73AEF9F3" w14:textId="77777777" w:rsidR="00290C1E" w:rsidRDefault="00290C1E" w:rsidP="00290C1E">
      <w:pPr>
        <w:spacing w:before="300" w:after="300"/>
        <w:rPr>
          <w:rFonts w:ascii="Times New Roman" w:hAnsi="Times New Roman" w:cs="Times New Roman"/>
        </w:rPr>
      </w:pPr>
      <w:r>
        <w:pict w14:anchorId="27995228">
          <v:rect id="_x0000_i1028" style="width:0;height:0" o:hralign="center" o:hrstd="t" o:hrnoshade="t" o:hr="t" fillcolor="#333" stroked="f"/>
        </w:pict>
      </w:r>
    </w:p>
    <w:p w14:paraId="1AB7D5D1" w14:textId="77777777" w:rsidR="00290C1E" w:rsidRDefault="00290C1E" w:rsidP="00290C1E">
      <w:pPr>
        <w:pStyle w:val="Ttulo3"/>
        <w:shd w:val="clear" w:color="auto" w:fill="FFFFFF"/>
        <w:spacing w:before="480" w:after="240"/>
        <w:rPr>
          <w:rFonts w:ascii="Arial" w:hAnsi="Arial" w:cs="Arial"/>
          <w:caps/>
          <w:color w:val="468847"/>
          <w:sz w:val="35"/>
          <w:szCs w:val="35"/>
        </w:rPr>
      </w:pPr>
      <w:r>
        <w:rPr>
          <w:rStyle w:val="Forte"/>
          <w:rFonts w:ascii="Arial" w:hAnsi="Arial" w:cs="Arial"/>
          <w:b w:val="0"/>
          <w:bCs w:val="0"/>
          <w:caps/>
          <w:color w:val="468847"/>
          <w:sz w:val="35"/>
          <w:szCs w:val="35"/>
        </w:rPr>
        <w:t>4. POLICIAIS E BOMBEIROS MILITARES TEM DIREITO?</w:t>
      </w:r>
    </w:p>
    <w:p w14:paraId="19927431"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Os policiais e Bombeiros Militares são considerados categoria especial de servidores públicos, sujeitos a regras, normas e princípios próprios (Art. 42, CRFB/88). Por esta razão, não estão sujeito necessariamente à aposentadoria nos mesmos moldes que o servidor público civil. Logo, fala-se em transferência do militar à inatividade. No Estado do Tocantins, p. exemplo, a Lei 2.578/12 trata dos critérios de transferência voluntária do militar tocantinense para a reserva remunerada (Art. 122) aos 30 anos de contribuição, se homem, e 25 anos, se mulher, nesta condição permanecendo e podendo retornar, voluntariamente, ao serviço ativo se convocado. Bem como, dos critérios para a transferência definitiva e compulsória para a inatividade, hipótese em que ocorrerá a reforma (Art. 125).</w:t>
      </w:r>
    </w:p>
    <w:p w14:paraId="2280374C"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lastRenderedPageBreak/>
        <w:t>Entretanto, a já mencionada lei ordinária, editada em consonância com os Arts 42, § 1º c/c Art. 142, § 3º, X, CRFB/88, é silente quanto à possibilidade de transferência especial à inatividade dos militares tocantinenses. Compreensível até certo ponto, por não se tratar de Lei Complementar como exige a CRFB/88. Logo, somente as policiais e bombeiros femininas podem, ao completarem 25 anos de contribuição, transferirem-se para a inatividade, seja na modalidade de reserva remunerada ou na de reforma.</w:t>
      </w:r>
    </w:p>
    <w:p w14:paraId="2BD61AA1"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Porém, com a entrada em vigor da Súmula Vinculante 33, não restam dúvidas que todos os militares bombeiros ou policiais, em virtude da natureza das atividades exercidas por eles, fazem jus à transferência à inatividade aos 25 anos de serviço. Os primeiros por exercerem atividade na qual o risco de contágio de moléstias e doenças é iminente e, por também, estarem sujeitos ao risco de morte. Os segundos, por terem como atividade precípua a oferta de policiamento ostensivo a fim de manter a ordem pública, o que, por si só, já indica o risco constante ao qual está sujeito sua integridade física e muitas vezes, sua própria vida, sobretudo, quando se é agente de segurança pública em um dos países mais violentos das Américas, bem como, por também estarem sujeitos à contração de moléstias profissionais, e como são abundantes os casos nesse sentido.</w:t>
      </w:r>
    </w:p>
    <w:p w14:paraId="4FC858EC"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Ademais, negar-lhes a transferência à inatividade aos 25 anos de serviço sob o argumento de que são uma categoria especial com regimento próprio, não sendo alcançados por tal direito, portanto, seria realizar supressão inadmissível a qual não foi perpetrada pelo constituinte e muito menos poderá sê-lo pelos gestores, ou pelo legislador infraconstitucional. Ora, já não bastam as várias supressões efetivadas pelo próprio constituinte em desfavor dos militares</w:t>
      </w:r>
      <w:r>
        <w:rPr>
          <w:rFonts w:ascii="Helvetica" w:hAnsi="Helvetica" w:cs="Helvetica"/>
          <w:color w:val="333333"/>
          <w:sz w:val="18"/>
          <w:szCs w:val="18"/>
          <w:vertAlign w:val="superscript"/>
        </w:rPr>
        <w:t>[4]</w:t>
      </w:r>
      <w:r>
        <w:rPr>
          <w:rFonts w:ascii="Helvetica" w:hAnsi="Helvetica" w:cs="Helvetica"/>
          <w:color w:val="333333"/>
        </w:rPr>
        <w:t>, agora, admitir mais esta, configurando afronta letal à isonomia entre estes e os servidores civis que também exerçam atividades insalubres e perigosas, não seria razoável ou consentâneo com o desejo do constituinte que reservou à legislação infraconstitucional a prerrogativa de regulamentar a transferência do militar à inatividade, sem, contudo, autorizar o legislador a realizar supressões não previstas no próprio Texto Maior. Destarte, não devem prosperar tais argumentos contrários à transferência à inatividade dos militares aos 25 anos de serviço, sob pena de inegável ofensa ao Texto Constitucional.</w:t>
      </w:r>
    </w:p>
    <w:p w14:paraId="540825AF" w14:textId="77777777" w:rsidR="00290C1E" w:rsidRDefault="00290C1E" w:rsidP="00290C1E">
      <w:pPr>
        <w:spacing w:before="300" w:after="300"/>
        <w:rPr>
          <w:rFonts w:ascii="Times New Roman" w:hAnsi="Times New Roman" w:cs="Times New Roman"/>
        </w:rPr>
      </w:pPr>
      <w:r>
        <w:pict w14:anchorId="3FF19389">
          <v:rect id="_x0000_i1029" style="width:0;height:0" o:hralign="center" o:hrstd="t" o:hrnoshade="t" o:hr="t" fillcolor="#333" stroked="f"/>
        </w:pict>
      </w:r>
    </w:p>
    <w:p w14:paraId="579A7D25" w14:textId="77777777" w:rsidR="00290C1E" w:rsidRDefault="00290C1E" w:rsidP="00290C1E">
      <w:pPr>
        <w:pStyle w:val="Ttulo3"/>
        <w:shd w:val="clear" w:color="auto" w:fill="FFFFFF"/>
        <w:spacing w:before="480" w:after="240"/>
        <w:rPr>
          <w:rFonts w:ascii="Arial" w:hAnsi="Arial" w:cs="Arial"/>
          <w:caps/>
          <w:color w:val="468847"/>
          <w:sz w:val="35"/>
          <w:szCs w:val="35"/>
        </w:rPr>
      </w:pPr>
      <w:r>
        <w:rPr>
          <w:rStyle w:val="Forte"/>
          <w:rFonts w:ascii="Arial" w:hAnsi="Arial" w:cs="Arial"/>
          <w:b w:val="0"/>
          <w:bCs w:val="0"/>
          <w:caps/>
          <w:color w:val="468847"/>
          <w:sz w:val="35"/>
          <w:szCs w:val="35"/>
        </w:rPr>
        <w:t>5. CONCLUSÕES</w:t>
      </w:r>
    </w:p>
    <w:p w14:paraId="5CBFD4B9"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 xml:space="preserve">Não obstante, não se tratar das tão esperadas Leis Complementares exigidas pelo Art. 40, § 4º, III da CRFB/88, a Súmula Vinculante 33 veio concretizar um direito indiscutível de todos os servidores públicos cuja integridade física e a vida ou a saúde estavam comprometidas em virtude das atividades profissionais por eles exercidas. Agora, não poderá mais a Administração Pública indeferir a aposentadoria especial ou a transferência especial à inatividade alegando a inexistência de lei regulamentadora. Com a entrada em vigor da supramencionada súmula vinculante, a Administração direta e indireta é obrigada a reconhecer a aposentadoria especial. Para tanto, </w:t>
      </w:r>
      <w:r>
        <w:rPr>
          <w:rFonts w:ascii="Helvetica" w:hAnsi="Helvetica" w:cs="Helvetica"/>
          <w:color w:val="333333"/>
        </w:rPr>
        <w:lastRenderedPageBreak/>
        <w:t>basta ao servidor na iminência de completar 25 anos de serviço, pleitear </w:t>
      </w:r>
      <w:r>
        <w:rPr>
          <w:rStyle w:val="Forte"/>
          <w:rFonts w:ascii="Helvetica" w:hAnsi="Helvetica" w:cs="Helvetica"/>
          <w:color w:val="333333"/>
        </w:rPr>
        <w:t>administrativamente</w:t>
      </w:r>
      <w:r>
        <w:rPr>
          <w:rFonts w:ascii="Helvetica" w:hAnsi="Helvetica" w:cs="Helvetica"/>
          <w:color w:val="333333"/>
        </w:rPr>
        <w:t> o reconhecimento de seu direito. Contudo, caso seja negado ou, de alguma forma, descumprida a súmula em questão, caberá </w:t>
      </w:r>
      <w:r>
        <w:rPr>
          <w:rStyle w:val="Forte"/>
          <w:rFonts w:ascii="Helvetica" w:hAnsi="Helvetica" w:cs="Helvetica"/>
          <w:color w:val="333333"/>
        </w:rPr>
        <w:t>reclamação </w:t>
      </w:r>
      <w:r>
        <w:rPr>
          <w:rFonts w:ascii="Helvetica" w:hAnsi="Helvetica" w:cs="Helvetica"/>
          <w:color w:val="333333"/>
        </w:rPr>
        <w:t>diretamente ao STF, nos termos do Art. 103-A, § 3º da CRFB/88 e do Art. 7º da Lei 11.417/2006.</w:t>
      </w:r>
    </w:p>
    <w:p w14:paraId="4650A6B5" w14:textId="77777777" w:rsidR="00290C1E" w:rsidRDefault="00290C1E" w:rsidP="00290C1E">
      <w:pPr>
        <w:spacing w:before="300" w:after="300"/>
        <w:rPr>
          <w:rFonts w:ascii="Times New Roman" w:hAnsi="Times New Roman" w:cs="Times New Roman"/>
        </w:rPr>
      </w:pPr>
      <w:r>
        <w:pict w14:anchorId="31B5C1CB">
          <v:rect id="_x0000_i1030" style="width:0;height:0" o:hralign="center" o:hrstd="t" o:hrnoshade="t" o:hr="t" fillcolor="#333" stroked="f"/>
        </w:pict>
      </w:r>
    </w:p>
    <w:p w14:paraId="1F183E01" w14:textId="77777777" w:rsidR="00290C1E" w:rsidRDefault="00290C1E" w:rsidP="00290C1E">
      <w:pPr>
        <w:pStyle w:val="Ttulo3"/>
        <w:shd w:val="clear" w:color="auto" w:fill="FFFFFF"/>
        <w:spacing w:before="480" w:after="240"/>
        <w:rPr>
          <w:rFonts w:ascii="Arial" w:hAnsi="Arial" w:cs="Arial"/>
          <w:caps/>
          <w:color w:val="468847"/>
          <w:sz w:val="35"/>
          <w:szCs w:val="35"/>
        </w:rPr>
      </w:pPr>
      <w:r>
        <w:rPr>
          <w:rStyle w:val="Forte"/>
          <w:rFonts w:ascii="Arial" w:hAnsi="Arial" w:cs="Arial"/>
          <w:b w:val="0"/>
          <w:bCs w:val="0"/>
          <w:caps/>
          <w:color w:val="468847"/>
          <w:sz w:val="35"/>
          <w:szCs w:val="35"/>
        </w:rPr>
        <w:t>6. REFERÊNCIAS BIBLIOGRÁFICAS</w:t>
      </w:r>
    </w:p>
    <w:p w14:paraId="000F7473"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ALEXANDRINO, Marcelo. PAULO, Vicente. </w:t>
      </w:r>
      <w:hyperlink r:id="rId19" w:history="1">
        <w:r>
          <w:rPr>
            <w:rStyle w:val="Hyperlink"/>
            <w:rFonts w:ascii="Helvetica" w:hAnsi="Helvetica" w:cs="Helvetica"/>
            <w:color w:val="0C6BD1"/>
          </w:rPr>
          <w:t>Direito Administrativo</w:t>
        </w:r>
      </w:hyperlink>
      <w:r>
        <w:rPr>
          <w:rFonts w:ascii="Helvetica" w:hAnsi="Helvetica" w:cs="Helvetica"/>
          <w:color w:val="333333"/>
        </w:rPr>
        <w:t> Descomplicado - 22ª ed., rev., Atual. e Ampl.  São Paulo: Método, 2014</w:t>
      </w:r>
    </w:p>
    <w:p w14:paraId="6BF30936"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BARBOSA, Márcio. NUNNES, Sérgio. Estatuto PM BM TO Comentado: Artigo por Artigo. Gurupi: Veloso, 2013.</w:t>
      </w:r>
    </w:p>
    <w:p w14:paraId="65B5479D"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CANOTILHO, J. J. Gomes; MENDES, Gilmar F; SARLET, Ingo W; STRECK, Lenio L. (Coords.). Comentários à Constituição do Brasil. São Paulo: Saraiva/Almedina, 2013.</w:t>
      </w:r>
    </w:p>
    <w:p w14:paraId="76894858"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MEIRELLES, Hely Lopes. Direito Administrativo Brasileiro – 33ª ed. São Paulo: Malheiros, 2007.</w:t>
      </w:r>
    </w:p>
    <w:p w14:paraId="0BA950E8"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rPr>
        <w:t>MARINELA, Fernanda. Direito Administrativo – 5ª ed. rev., ampl., refor. e atual. Niterói: Impetus, 2011.</w:t>
      </w:r>
    </w:p>
    <w:p w14:paraId="79918E59" w14:textId="77777777" w:rsidR="00290C1E" w:rsidRDefault="00290C1E" w:rsidP="00290C1E">
      <w:pPr>
        <w:spacing w:before="300" w:after="300"/>
        <w:rPr>
          <w:rFonts w:ascii="Times New Roman" w:hAnsi="Times New Roman" w:cs="Times New Roman"/>
        </w:rPr>
      </w:pPr>
      <w:r>
        <w:pict w14:anchorId="24D8461D">
          <v:rect id="_x0000_i1031" style="width:0;height:0" o:hralign="center" o:hrstd="t" o:hrnoshade="t" o:hr="t" fillcolor="#333" stroked="f"/>
        </w:pict>
      </w:r>
    </w:p>
    <w:p w14:paraId="600EE3C4" w14:textId="77777777" w:rsidR="00290C1E" w:rsidRDefault="00290C1E" w:rsidP="00290C1E">
      <w:pPr>
        <w:pStyle w:val="Ttulo3"/>
        <w:shd w:val="clear" w:color="auto" w:fill="FFFFFF"/>
        <w:spacing w:before="480" w:after="240"/>
        <w:rPr>
          <w:rFonts w:ascii="Arial" w:hAnsi="Arial" w:cs="Arial"/>
          <w:caps/>
          <w:color w:val="468847"/>
          <w:sz w:val="35"/>
          <w:szCs w:val="35"/>
        </w:rPr>
      </w:pPr>
      <w:r>
        <w:rPr>
          <w:rFonts w:ascii="Arial" w:hAnsi="Arial" w:cs="Arial"/>
          <w:caps/>
          <w:color w:val="468847"/>
          <w:sz w:val="35"/>
          <w:szCs w:val="35"/>
        </w:rPr>
        <w:t>NOTAS</w:t>
      </w:r>
    </w:p>
    <w:p w14:paraId="3644C4B9"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sz w:val="18"/>
          <w:szCs w:val="18"/>
          <w:vertAlign w:val="superscript"/>
        </w:rPr>
        <w:t>[1]</w:t>
      </w:r>
      <w:r>
        <w:rPr>
          <w:rFonts w:ascii="Helvetica" w:hAnsi="Helvetica" w:cs="Helvetica"/>
          <w:color w:val="333333"/>
        </w:rPr>
        <w:t> Cargo público efetivo – Após citarem Hely Lopes Meirelles, o Major Márcio Barbosa e o Prof. Sérgio Nunnes, concluem em seu livro Estatuto PM/BM/TO Comentado, que cargo público, “em outras palavras, trata-se da menor e mais simples unidade indivisível de competência expressada por um agente público”. (BARBOSA, Márcio. NUNES, Sérgio. Estatuto PM BM TO Comentado: Artigo por Artigo. Gurupi: Veloso, 2013, p. 15). E este cargo será efetivo quando o acesso a ele se der por concurso público (Art. 37, II, CF/88), estando sujeito o seu titular à aquisição da estabilidade, sendo-lhe assegurada a perda do cargo somente, no mínimo, mediante </w:t>
      </w:r>
      <w:hyperlink r:id="rId20" w:history="1">
        <w:r>
          <w:rPr>
            <w:rStyle w:val="Hyperlink"/>
            <w:rFonts w:ascii="Helvetica" w:hAnsi="Helvetica" w:cs="Helvetica"/>
            <w:color w:val="0C6BD1"/>
          </w:rPr>
          <w:t>processo</w:t>
        </w:r>
      </w:hyperlink>
      <w:r>
        <w:rPr>
          <w:rFonts w:ascii="Helvetica" w:hAnsi="Helvetica" w:cs="Helvetica"/>
          <w:color w:val="333333"/>
        </w:rPr>
        <w:t> administrativo em que lhe seja assegurada ampla defesa (Art. 41, CRFB/88).</w:t>
      </w:r>
    </w:p>
    <w:p w14:paraId="073BC3FA" w14:textId="77777777" w:rsidR="00290C1E" w:rsidRDefault="00290C1E" w:rsidP="00290C1E">
      <w:pPr>
        <w:pStyle w:val="NormalWeb"/>
        <w:shd w:val="clear" w:color="auto" w:fill="FFFFFF"/>
        <w:spacing w:before="0" w:beforeAutospacing="0" w:after="288" w:afterAutospacing="0"/>
        <w:ind w:firstLine="840"/>
        <w:rPr>
          <w:rFonts w:ascii="Helvetica" w:hAnsi="Helvetica" w:cs="Helvetica"/>
          <w:color w:val="333333"/>
        </w:rPr>
      </w:pPr>
      <w:r>
        <w:rPr>
          <w:rFonts w:ascii="Helvetica" w:hAnsi="Helvetica" w:cs="Helvetica"/>
          <w:color w:val="333333"/>
          <w:sz w:val="18"/>
          <w:szCs w:val="18"/>
          <w:vertAlign w:val="superscript"/>
        </w:rPr>
        <w:t>[2]</w:t>
      </w:r>
      <w:r>
        <w:rPr>
          <w:rFonts w:ascii="Helvetica" w:hAnsi="Helvetica" w:cs="Helvetica"/>
          <w:color w:val="333333"/>
        </w:rPr>
        <w:t> MEIRELLES, Hely Lopes. Direito Administrativo Brasileiro – 33ª ed. São Paulo: Malheiros, 2007, p. 458.</w:t>
      </w:r>
    </w:p>
    <w:p w14:paraId="4371A692" w14:textId="77777777" w:rsidR="00290C1E" w:rsidRDefault="00290C1E" w:rsidP="00D34891">
      <w:pPr>
        <w:jc w:val="both"/>
      </w:pPr>
      <w:bookmarkStart w:id="0" w:name="_GoBack"/>
      <w:bookmarkEnd w:id="0"/>
    </w:p>
    <w:sectPr w:rsidR="00290C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A7494"/>
    <w:multiLevelType w:val="multilevel"/>
    <w:tmpl w:val="204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91"/>
    <w:rsid w:val="00290C1E"/>
    <w:rsid w:val="005B7234"/>
    <w:rsid w:val="00C832A1"/>
    <w:rsid w:val="00D34891"/>
    <w:rsid w:val="00F24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80FB"/>
  <w15:chartTrackingRefBased/>
  <w15:docId w15:val="{883FC69E-0F25-4CA6-989F-F31F4F73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34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D3489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290C1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290C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489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34891"/>
    <w:rPr>
      <w:rFonts w:ascii="Times New Roman" w:eastAsia="Times New Roman" w:hAnsi="Times New Roman" w:cs="Times New Roman"/>
      <w:b/>
      <w:bCs/>
      <w:sz w:val="36"/>
      <w:szCs w:val="36"/>
      <w:lang w:eastAsia="pt-BR"/>
    </w:rPr>
  </w:style>
  <w:style w:type="paragraph" w:customStyle="1" w:styleId="autor">
    <w:name w:val="autor"/>
    <w:basedOn w:val="Normal"/>
    <w:rsid w:val="00D34891"/>
    <w:pPr>
      <w:spacing w:before="100" w:beforeAutospacing="1" w:after="100" w:afterAutospacing="1" w:line="240" w:lineRule="auto"/>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D34891"/>
    <w:rPr>
      <w:color w:val="0000FF"/>
      <w:u w:val="single"/>
    </w:rPr>
  </w:style>
  <w:style w:type="paragraph" w:customStyle="1" w:styleId="data">
    <w:name w:val="data"/>
    <w:basedOn w:val="Normal"/>
    <w:rsid w:val="00D34891"/>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desc">
    <w:name w:val="desc"/>
    <w:basedOn w:val="Fontepargpadro"/>
    <w:rsid w:val="00D34891"/>
  </w:style>
  <w:style w:type="paragraph" w:customStyle="1" w:styleId="aa">
    <w:name w:val="aa"/>
    <w:basedOn w:val="Normal"/>
    <w:rsid w:val="00D34891"/>
    <w:pPr>
      <w:spacing w:before="100" w:beforeAutospacing="1" w:after="100" w:afterAutospacing="1" w:line="240" w:lineRule="auto"/>
    </w:pPr>
    <w:rPr>
      <w:rFonts w:ascii="Times New Roman" w:eastAsia="Times New Roman" w:hAnsi="Times New Roman" w:cs="Times New Roman"/>
      <w:szCs w:val="24"/>
      <w:lang w:eastAsia="pt-BR"/>
    </w:rPr>
  </w:style>
  <w:style w:type="paragraph" w:styleId="NormalWeb">
    <w:name w:val="Normal (Web)"/>
    <w:basedOn w:val="Normal"/>
    <w:uiPriority w:val="99"/>
    <w:semiHidden/>
    <w:unhideWhenUsed/>
    <w:rsid w:val="00D34891"/>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D34891"/>
    <w:rPr>
      <w:b/>
      <w:bCs/>
    </w:rPr>
  </w:style>
  <w:style w:type="character" w:customStyle="1" w:styleId="Ttulo3Char">
    <w:name w:val="Título 3 Char"/>
    <w:basedOn w:val="Fontepargpadro"/>
    <w:link w:val="Ttulo3"/>
    <w:uiPriority w:val="9"/>
    <w:semiHidden/>
    <w:rsid w:val="00290C1E"/>
    <w:rPr>
      <w:rFonts w:asciiTheme="majorHAnsi" w:eastAsiaTheme="majorEastAsia" w:hAnsiTheme="majorHAnsi" w:cstheme="majorBidi"/>
      <w:color w:val="1F3763" w:themeColor="accent1" w:themeShade="7F"/>
      <w:szCs w:val="24"/>
    </w:rPr>
  </w:style>
  <w:style w:type="character" w:customStyle="1" w:styleId="Ttulo4Char">
    <w:name w:val="Título 4 Char"/>
    <w:basedOn w:val="Fontepargpadro"/>
    <w:link w:val="Ttulo4"/>
    <w:uiPriority w:val="9"/>
    <w:semiHidden/>
    <w:rsid w:val="00290C1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78422">
      <w:bodyDiv w:val="1"/>
      <w:marLeft w:val="0"/>
      <w:marRight w:val="0"/>
      <w:marTop w:val="0"/>
      <w:marBottom w:val="0"/>
      <w:divBdr>
        <w:top w:val="none" w:sz="0" w:space="0" w:color="auto"/>
        <w:left w:val="none" w:sz="0" w:space="0" w:color="auto"/>
        <w:bottom w:val="none" w:sz="0" w:space="0" w:color="auto"/>
        <w:right w:val="none" w:sz="0" w:space="0" w:color="auto"/>
      </w:divBdr>
      <w:divsChild>
        <w:div w:id="1643803340">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621455144">
      <w:bodyDiv w:val="1"/>
      <w:marLeft w:val="0"/>
      <w:marRight w:val="0"/>
      <w:marTop w:val="0"/>
      <w:marBottom w:val="0"/>
      <w:divBdr>
        <w:top w:val="none" w:sz="0" w:space="0" w:color="auto"/>
        <w:left w:val="none" w:sz="0" w:space="0" w:color="auto"/>
        <w:bottom w:val="none" w:sz="0" w:space="0" w:color="auto"/>
        <w:right w:val="none" w:sz="0" w:space="0" w:color="auto"/>
      </w:divBdr>
      <w:divsChild>
        <w:div w:id="2013726492">
          <w:marLeft w:val="0"/>
          <w:marRight w:val="0"/>
          <w:marTop w:val="0"/>
          <w:marBottom w:val="0"/>
          <w:divBdr>
            <w:top w:val="none" w:sz="0" w:space="0" w:color="auto"/>
            <w:left w:val="none" w:sz="0" w:space="0" w:color="auto"/>
            <w:bottom w:val="none" w:sz="0" w:space="0" w:color="auto"/>
            <w:right w:val="none" w:sz="0" w:space="0" w:color="auto"/>
          </w:divBdr>
          <w:divsChild>
            <w:div w:id="1066342675">
              <w:marLeft w:val="0"/>
              <w:marRight w:val="0"/>
              <w:marTop w:val="0"/>
              <w:marBottom w:val="12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759061045">
                      <w:marLeft w:val="0"/>
                      <w:marRight w:val="0"/>
                      <w:marTop w:val="0"/>
                      <w:marBottom w:val="0"/>
                      <w:divBdr>
                        <w:top w:val="none" w:sz="0" w:space="0" w:color="auto"/>
                        <w:left w:val="none" w:sz="0" w:space="0" w:color="auto"/>
                        <w:bottom w:val="none" w:sz="0" w:space="0" w:color="auto"/>
                        <w:right w:val="none" w:sz="0" w:space="0" w:color="auto"/>
                      </w:divBdr>
                      <w:divsChild>
                        <w:div w:id="1169565885">
                          <w:marLeft w:val="0"/>
                          <w:marRight w:val="0"/>
                          <w:marTop w:val="0"/>
                          <w:marBottom w:val="0"/>
                          <w:divBdr>
                            <w:top w:val="single" w:sz="6" w:space="4" w:color="CCCCCC"/>
                            <w:left w:val="single" w:sz="6" w:space="8" w:color="CCCCCC"/>
                            <w:bottom w:val="single" w:sz="6" w:space="4" w:color="CCCCCC"/>
                            <w:right w:val="single" w:sz="6" w:space="8" w:color="CCCCCC"/>
                          </w:divBdr>
                        </w:div>
                        <w:div w:id="113479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7885275">
                  <w:marLeft w:val="0"/>
                  <w:marRight w:val="0"/>
                  <w:marTop w:val="300"/>
                  <w:marBottom w:val="0"/>
                  <w:divBdr>
                    <w:top w:val="none" w:sz="0" w:space="0" w:color="auto"/>
                    <w:left w:val="none" w:sz="0" w:space="0" w:color="auto"/>
                    <w:bottom w:val="none" w:sz="0" w:space="0" w:color="auto"/>
                    <w:right w:val="none" w:sz="0" w:space="0" w:color="auto"/>
                  </w:divBdr>
                  <w:divsChild>
                    <w:div w:id="11137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984">
          <w:marLeft w:val="0"/>
          <w:marRight w:val="0"/>
          <w:marTop w:val="300"/>
          <w:marBottom w:val="0"/>
          <w:divBdr>
            <w:top w:val="none" w:sz="0" w:space="0" w:color="auto"/>
            <w:left w:val="none" w:sz="0" w:space="0" w:color="auto"/>
            <w:bottom w:val="none" w:sz="0" w:space="0" w:color="auto"/>
            <w:right w:val="none" w:sz="0" w:space="0" w:color="auto"/>
          </w:divBdr>
          <w:divsChild>
            <w:div w:id="1163475359">
              <w:marLeft w:val="0"/>
              <w:marRight w:val="0"/>
              <w:marTop w:val="0"/>
              <w:marBottom w:val="600"/>
              <w:divBdr>
                <w:top w:val="single" w:sz="6" w:space="12" w:color="E8E8E8"/>
                <w:left w:val="none" w:sz="0" w:space="0" w:color="auto"/>
                <w:bottom w:val="single" w:sz="6" w:space="12" w:color="E8E8E8"/>
                <w:right w:val="none" w:sz="0" w:space="0" w:color="auto"/>
              </w:divBdr>
            </w:div>
            <w:div w:id="688989989">
              <w:blockQuote w:val="1"/>
              <w:marLeft w:val="0"/>
              <w:marRight w:val="0"/>
              <w:marTop w:val="0"/>
              <w:marBottom w:val="270"/>
              <w:divBdr>
                <w:top w:val="none" w:sz="0" w:space="0" w:color="auto"/>
                <w:left w:val="single" w:sz="36" w:space="14" w:color="9FC7A0"/>
                <w:bottom w:val="none" w:sz="0" w:space="0" w:color="auto"/>
                <w:right w:val="none" w:sz="0" w:space="0" w:color="auto"/>
              </w:divBdr>
            </w:div>
            <w:div w:id="1166475688">
              <w:blockQuote w:val="1"/>
              <w:marLeft w:val="0"/>
              <w:marRight w:val="0"/>
              <w:marTop w:val="0"/>
              <w:marBottom w:val="270"/>
              <w:divBdr>
                <w:top w:val="none" w:sz="0" w:space="0" w:color="auto"/>
                <w:left w:val="single" w:sz="36" w:space="14" w:color="9FC7A0"/>
                <w:bottom w:val="none" w:sz="0" w:space="0" w:color="auto"/>
                <w:right w:val="none" w:sz="0" w:space="0" w:color="auto"/>
              </w:divBdr>
            </w:div>
            <w:div w:id="391389988">
              <w:blockQuote w:val="1"/>
              <w:marLeft w:val="0"/>
              <w:marRight w:val="0"/>
              <w:marTop w:val="0"/>
              <w:marBottom w:val="270"/>
              <w:divBdr>
                <w:top w:val="none" w:sz="0" w:space="0" w:color="auto"/>
                <w:left w:val="single" w:sz="36" w:space="14" w:color="9FC7A0"/>
                <w:bottom w:val="none" w:sz="0" w:space="0" w:color="auto"/>
                <w:right w:val="none" w:sz="0" w:space="0" w:color="auto"/>
              </w:divBdr>
            </w:div>
            <w:div w:id="974258457">
              <w:blockQuote w:val="1"/>
              <w:marLeft w:val="0"/>
              <w:marRight w:val="0"/>
              <w:marTop w:val="0"/>
              <w:marBottom w:val="270"/>
              <w:divBdr>
                <w:top w:val="none" w:sz="0" w:space="0" w:color="auto"/>
                <w:left w:val="single" w:sz="36" w:space="14" w:color="9FC7A0"/>
                <w:bottom w:val="none" w:sz="0" w:space="0" w:color="auto"/>
                <w:right w:val="none" w:sz="0" w:space="0" w:color="auto"/>
              </w:divBdr>
            </w:div>
            <w:div w:id="759763172">
              <w:blockQuote w:val="1"/>
              <w:marLeft w:val="0"/>
              <w:marRight w:val="0"/>
              <w:marTop w:val="0"/>
              <w:marBottom w:val="270"/>
              <w:divBdr>
                <w:top w:val="none" w:sz="0" w:space="0" w:color="auto"/>
                <w:left w:val="single" w:sz="36" w:space="14" w:color="9FC7A0"/>
                <w:bottom w:val="none" w:sz="0" w:space="0" w:color="auto"/>
                <w:right w:val="none" w:sz="0" w:space="0" w:color="auto"/>
              </w:divBdr>
            </w:div>
            <w:div w:id="352924702">
              <w:blockQuote w:val="1"/>
              <w:marLeft w:val="0"/>
              <w:marRight w:val="0"/>
              <w:marTop w:val="0"/>
              <w:marBottom w:val="270"/>
              <w:divBdr>
                <w:top w:val="none" w:sz="0" w:space="0" w:color="auto"/>
                <w:left w:val="single" w:sz="36" w:space="14" w:color="9FC7A0"/>
                <w:bottom w:val="none" w:sz="0" w:space="0" w:color="auto"/>
                <w:right w:val="none" w:sz="0" w:space="0" w:color="auto"/>
              </w:divBdr>
            </w:div>
            <w:div w:id="113448523">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artigos/direito-previdenciario" TargetMode="External"/><Relationship Id="rId13" Type="http://schemas.openxmlformats.org/officeDocument/2006/relationships/hyperlink" Target="https://jus.com.br/tudo/aposentadoria-especial" TargetMode="External"/><Relationship Id="rId18" Type="http://schemas.openxmlformats.org/officeDocument/2006/relationships/hyperlink" Target="https://jus.com.br/tudo/adoca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us.com.br/artigos/direito-do-trabalho" TargetMode="External"/><Relationship Id="rId12" Type="http://schemas.openxmlformats.org/officeDocument/2006/relationships/hyperlink" Target="https://jus.com.br/tudo/adocao" TargetMode="External"/><Relationship Id="rId17" Type="http://schemas.openxmlformats.org/officeDocument/2006/relationships/hyperlink" Target="https://jus.com.br/tudo/sumula-vinculante" TargetMode="External"/><Relationship Id="rId2" Type="http://schemas.openxmlformats.org/officeDocument/2006/relationships/styles" Target="styles.xml"/><Relationship Id="rId16" Type="http://schemas.openxmlformats.org/officeDocument/2006/relationships/hyperlink" Target="https://jus.com.br/tudo/direito-constitucional" TargetMode="External"/><Relationship Id="rId20" Type="http://schemas.openxmlformats.org/officeDocument/2006/relationships/hyperlink" Target="https://jus.com.br/tudo/processo" TargetMode="External"/><Relationship Id="rId1" Type="http://schemas.openxmlformats.org/officeDocument/2006/relationships/numbering" Target="numbering.xml"/><Relationship Id="rId6" Type="http://schemas.openxmlformats.org/officeDocument/2006/relationships/hyperlink" Target="https://jus.com.br/artigos/direito-administrativo" TargetMode="External"/><Relationship Id="rId11" Type="http://schemas.openxmlformats.org/officeDocument/2006/relationships/hyperlink" Target="https://jus.com.br/tudo/servidor-publico" TargetMode="External"/><Relationship Id="rId5" Type="http://schemas.openxmlformats.org/officeDocument/2006/relationships/hyperlink" Target="https://marceloavila.jus.com.br/publicacoes" TargetMode="External"/><Relationship Id="rId15" Type="http://schemas.openxmlformats.org/officeDocument/2006/relationships/hyperlink" Target="https://jus.com.br/tudo/servidor-publico" TargetMode="External"/><Relationship Id="rId10" Type="http://schemas.openxmlformats.org/officeDocument/2006/relationships/hyperlink" Target="https://jus.com.br/tudo/aposentadoria" TargetMode="External"/><Relationship Id="rId19" Type="http://schemas.openxmlformats.org/officeDocument/2006/relationships/hyperlink" Target="https://jus.com.br/tudo/direito-administrativo" TargetMode="External"/><Relationship Id="rId4" Type="http://schemas.openxmlformats.org/officeDocument/2006/relationships/webSettings" Target="webSettings.xml"/><Relationship Id="rId9" Type="http://schemas.openxmlformats.org/officeDocument/2006/relationships/hyperlink" Target="https://jus.com.br/artigos/biodireito" TargetMode="External"/><Relationship Id="rId14" Type="http://schemas.openxmlformats.org/officeDocument/2006/relationships/hyperlink" Target="https://jus.com.br/tudo/processo"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4001</Words>
  <Characters>21606</Characters>
  <Application>Microsoft Office Word</Application>
  <DocSecurity>0</DocSecurity>
  <Lines>180</Lines>
  <Paragraphs>51</Paragraphs>
  <ScaleCrop>false</ScaleCrop>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tirmi elias</cp:lastModifiedBy>
  <cp:revision>2</cp:revision>
  <dcterms:created xsi:type="dcterms:W3CDTF">2019-07-31T10:30:00Z</dcterms:created>
  <dcterms:modified xsi:type="dcterms:W3CDTF">2019-08-06T18:27:00Z</dcterms:modified>
</cp:coreProperties>
</file>