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92" w:rsidRPr="00FC1825" w:rsidRDefault="00D9341C" w:rsidP="00D9341C">
      <w:pPr>
        <w:pStyle w:val="PargrafodaLista"/>
        <w:numPr>
          <w:ilvl w:val="0"/>
          <w:numId w:val="3"/>
        </w:numPr>
        <w:tabs>
          <w:tab w:val="left" w:pos="709"/>
        </w:tabs>
        <w:spacing w:before="144" w:line="266" w:lineRule="auto"/>
        <w:ind w:right="118"/>
        <w:rPr>
          <w:rFonts w:ascii="Arial" w:hAnsi="Arial" w:cs="Arial"/>
          <w:b/>
          <w:sz w:val="24"/>
          <w:szCs w:val="24"/>
          <w:u w:val="single"/>
        </w:rPr>
      </w:pPr>
      <w:r w:rsidRPr="00FC1825">
        <w:rPr>
          <w:rFonts w:ascii="Arial" w:hAnsi="Arial" w:cs="Arial"/>
          <w:b/>
          <w:color w:val="231F20"/>
          <w:sz w:val="24"/>
          <w:szCs w:val="24"/>
          <w:u w:val="single"/>
        </w:rPr>
        <w:t>OPÇÕES TRIBUTÁRIAS PARA CONSTITUIÇÃO D</w:t>
      </w:r>
      <w:r w:rsidR="001443C1">
        <w:rPr>
          <w:rFonts w:ascii="Arial" w:hAnsi="Arial" w:cs="Arial"/>
          <w:b/>
          <w:color w:val="231F20"/>
          <w:sz w:val="24"/>
          <w:szCs w:val="24"/>
          <w:u w:val="single"/>
        </w:rPr>
        <w:t>E</w:t>
      </w:r>
      <w:r w:rsidRPr="00FC1825">
        <w:rPr>
          <w:rFonts w:ascii="Arial" w:hAnsi="Arial" w:cs="Arial"/>
          <w:b/>
          <w:color w:val="231F20"/>
          <w:sz w:val="24"/>
          <w:szCs w:val="24"/>
          <w:u w:val="single"/>
        </w:rPr>
        <w:t xml:space="preserve"> HOLDING FAMILIAR:</w:t>
      </w:r>
    </w:p>
    <w:p w:rsidR="00A20C92" w:rsidRPr="00FC1825" w:rsidRDefault="00A20C92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A20C92" w:rsidRPr="00FC1825" w:rsidRDefault="00A20C92">
      <w:pPr>
        <w:rPr>
          <w:rFonts w:ascii="Arial" w:hAnsi="Arial" w:cs="Arial"/>
          <w:sz w:val="24"/>
          <w:szCs w:val="24"/>
        </w:rPr>
        <w:sectPr w:rsidR="00A20C92" w:rsidRPr="00FC1825" w:rsidSect="00D676E6">
          <w:footerReference w:type="even" r:id="rId7"/>
          <w:footerReference w:type="default" r:id="rId8"/>
          <w:pgSz w:w="11340" w:h="15880"/>
          <w:pgMar w:top="620" w:right="560" w:bottom="640" w:left="580" w:header="434" w:footer="457" w:gutter="0"/>
          <w:cols w:space="720"/>
        </w:sectPr>
      </w:pPr>
    </w:p>
    <w:p w:rsidR="00A20C92" w:rsidRPr="001443C1" w:rsidRDefault="00D9341C" w:rsidP="001443C1">
      <w:pPr>
        <w:spacing w:before="141"/>
        <w:ind w:left="100" w:firstLine="141"/>
        <w:rPr>
          <w:rFonts w:ascii="Arial" w:hAnsi="Arial" w:cs="Arial"/>
          <w:b/>
          <w:sz w:val="24"/>
          <w:szCs w:val="24"/>
        </w:rPr>
      </w:pPr>
      <w:r w:rsidRPr="001443C1">
        <w:rPr>
          <w:rFonts w:ascii="Arial" w:hAnsi="Arial" w:cs="Arial"/>
          <w:b/>
          <w:color w:val="231F20"/>
          <w:sz w:val="24"/>
          <w:szCs w:val="24"/>
        </w:rPr>
        <w:lastRenderedPageBreak/>
        <w:t>-</w:t>
      </w:r>
      <w:r w:rsidR="00971592" w:rsidRPr="001443C1">
        <w:rPr>
          <w:rFonts w:ascii="Arial" w:hAnsi="Arial" w:cs="Arial"/>
          <w:b/>
          <w:color w:val="231F20"/>
          <w:sz w:val="24"/>
          <w:szCs w:val="24"/>
        </w:rPr>
        <w:t xml:space="preserve"> Estimativa de Resultado pelo Lucro Presumido</w:t>
      </w:r>
      <w:r w:rsidR="001443C1">
        <w:rPr>
          <w:rFonts w:ascii="Arial" w:hAnsi="Arial" w:cs="Arial"/>
          <w:b/>
          <w:color w:val="231F20"/>
          <w:sz w:val="24"/>
          <w:szCs w:val="24"/>
        </w:rPr>
        <w:t>:</w:t>
      </w:r>
    </w:p>
    <w:p w:rsidR="00A20C92" w:rsidRPr="00FC1825" w:rsidRDefault="00A20C92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276"/>
        <w:gridCol w:w="2551"/>
      </w:tblGrid>
      <w:tr w:rsidR="00A20C92" w:rsidRPr="00FC1825" w:rsidTr="001443C1">
        <w:trPr>
          <w:trHeight w:val="225"/>
          <w:jc w:val="center"/>
        </w:trPr>
        <w:tc>
          <w:tcPr>
            <w:tcW w:w="8532" w:type="dxa"/>
            <w:gridSpan w:val="3"/>
          </w:tcPr>
          <w:p w:rsidR="00A20C92" w:rsidRPr="00FC1825" w:rsidRDefault="00971592">
            <w:pPr>
              <w:pStyle w:val="TableParagraph"/>
              <w:spacing w:before="5"/>
              <w:ind w:left="875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Regime Tributário - Lucro Presumido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5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Receita Bruta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5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12.000.000,00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Deduções da Receita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Soma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2.238.000,00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ICMS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15,00%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1.800.000,00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PIS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0,65%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78.000,00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COFINS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3,0%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360.000,00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Comissões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0,00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5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Receita Líquida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5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9.762.000,00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Custo dos Produtos Vendidos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66,4%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7.000.350,02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ICMS (crédito)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15,0%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1.050.052,50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Produtos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Liquido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5.950.297,52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5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Lucro Bruto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5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3.811.702,48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Despesas operacionais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1.724.333,94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5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LAIR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5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2.087.368,54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Cálculo do IRPJ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7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Base de cálculo (8% x rec. bruta)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spacing w:before="7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8%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7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960.000,00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7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IRPJ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spacing w:before="7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15%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7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144.000,00</w:t>
            </w:r>
          </w:p>
        </w:tc>
      </w:tr>
      <w:tr w:rsidR="00A20C92" w:rsidRPr="00FC1825" w:rsidTr="001443C1">
        <w:trPr>
          <w:trHeight w:val="4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15"/>
              <w:ind w:left="56" w:right="331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IRPJ adicional (descto $240mil base)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spacing w:before="107" w:line="240" w:lineRule="auto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10%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107" w:line="240" w:lineRule="auto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72.000,00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Cálculo do CSLL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Base de cálculo (12% x rec. bruta)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12%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1.440.000,00</w:t>
            </w:r>
          </w:p>
        </w:tc>
      </w:tr>
      <w:tr w:rsidR="00A20C92" w:rsidRPr="00FC1825" w:rsidTr="001443C1">
        <w:trPr>
          <w:trHeight w:val="228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CSLL</w:t>
            </w:r>
          </w:p>
        </w:tc>
        <w:tc>
          <w:tcPr>
            <w:tcW w:w="1276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left="92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9%</w:t>
            </w: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7" w:line="201" w:lineRule="exact"/>
              <w:ind w:right="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25">
              <w:rPr>
                <w:rFonts w:ascii="Arial" w:hAnsi="Arial" w:cs="Arial"/>
                <w:color w:val="231F20"/>
                <w:sz w:val="24"/>
                <w:szCs w:val="24"/>
              </w:rPr>
              <w:t>129.600,00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4" w:line="201" w:lineRule="exact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Lucro Líquido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4" w:line="201" w:lineRule="exact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1.741.768,54</w:t>
            </w:r>
          </w:p>
        </w:tc>
      </w:tr>
      <w:tr w:rsidR="00A20C92" w:rsidRPr="00FC1825" w:rsidTr="001443C1">
        <w:trPr>
          <w:trHeight w:val="225"/>
          <w:jc w:val="center"/>
        </w:trPr>
        <w:tc>
          <w:tcPr>
            <w:tcW w:w="4705" w:type="dxa"/>
          </w:tcPr>
          <w:p w:rsidR="00A20C92" w:rsidRPr="00FC1825" w:rsidRDefault="00971592">
            <w:pPr>
              <w:pStyle w:val="TableParagraph"/>
              <w:spacing w:before="4" w:line="201" w:lineRule="exact"/>
              <w:ind w:left="56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Impostos</w:t>
            </w:r>
          </w:p>
        </w:tc>
        <w:tc>
          <w:tcPr>
            <w:tcW w:w="1276" w:type="dxa"/>
          </w:tcPr>
          <w:p w:rsidR="00A20C92" w:rsidRPr="00FC1825" w:rsidRDefault="00A20C92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C92" w:rsidRPr="00FC1825" w:rsidRDefault="00971592">
            <w:pPr>
              <w:pStyle w:val="TableParagraph"/>
              <w:spacing w:before="4" w:line="201" w:lineRule="exact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825">
              <w:rPr>
                <w:rFonts w:ascii="Arial" w:hAnsi="Arial" w:cs="Arial"/>
                <w:b/>
                <w:color w:val="231F20"/>
                <w:sz w:val="24"/>
                <w:szCs w:val="24"/>
              </w:rPr>
              <w:t>1.533.547,50</w:t>
            </w:r>
          </w:p>
        </w:tc>
      </w:tr>
    </w:tbl>
    <w:p w:rsidR="00A20C92" w:rsidRPr="00FC1825" w:rsidRDefault="00A20C92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:rsidR="00A20C92" w:rsidRPr="00FC1825" w:rsidRDefault="00971592" w:rsidP="00D9341C">
      <w:pPr>
        <w:pStyle w:val="Corpodetexto"/>
        <w:spacing w:line="288" w:lineRule="auto"/>
        <w:ind w:left="100" w:right="38"/>
        <w:jc w:val="both"/>
        <w:rPr>
          <w:rFonts w:ascii="Arial" w:hAnsi="Arial" w:cs="Arial"/>
          <w:color w:val="231F20"/>
          <w:sz w:val="24"/>
          <w:szCs w:val="24"/>
        </w:rPr>
      </w:pPr>
      <w:r w:rsidRPr="00FC1825">
        <w:rPr>
          <w:rFonts w:ascii="Arial" w:hAnsi="Arial" w:cs="Arial"/>
          <w:color w:val="231F20"/>
          <w:sz w:val="24"/>
          <w:szCs w:val="24"/>
        </w:rPr>
        <w:t xml:space="preserve">No caso do lucro presumido, apenas o ICMS é </w:t>
      </w:r>
      <w:r w:rsidRPr="00FC1825">
        <w:rPr>
          <w:rFonts w:ascii="Arial" w:hAnsi="Arial" w:cs="Arial"/>
          <w:color w:val="231F20"/>
          <w:spacing w:val="-4"/>
          <w:sz w:val="24"/>
          <w:szCs w:val="24"/>
        </w:rPr>
        <w:t xml:space="preserve">não </w:t>
      </w:r>
      <w:r w:rsidRPr="00FC1825">
        <w:rPr>
          <w:rFonts w:ascii="Arial" w:hAnsi="Arial" w:cs="Arial"/>
          <w:color w:val="231F20"/>
          <w:sz w:val="24"/>
          <w:szCs w:val="24"/>
        </w:rPr>
        <w:t xml:space="preserve">cumulativo com o qual ocorre a compensação entre 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os </w:t>
      </w:r>
      <w:r w:rsidRPr="00FC1825">
        <w:rPr>
          <w:rFonts w:ascii="Arial" w:hAnsi="Arial" w:cs="Arial"/>
          <w:color w:val="231F20"/>
          <w:sz w:val="24"/>
          <w:szCs w:val="24"/>
        </w:rPr>
        <w:t>impostos de entrada e de saída do imposto estadual. Os impostos</w:t>
      </w:r>
      <w:r w:rsidRPr="00FC1825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federais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(PIS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e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COFINS)</w:t>
      </w:r>
      <w:r w:rsidRPr="00FC1825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são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calculados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apenas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com ba</w:t>
      </w:r>
      <w:r w:rsidRPr="00FC1825">
        <w:rPr>
          <w:rFonts w:ascii="Arial" w:hAnsi="Arial" w:cs="Arial"/>
          <w:color w:val="231F20"/>
          <w:sz w:val="24"/>
          <w:szCs w:val="24"/>
        </w:rPr>
        <w:t>se no faturamento.</w:t>
      </w:r>
    </w:p>
    <w:p w:rsidR="00D9341C" w:rsidRPr="00FC1825" w:rsidRDefault="00D9341C" w:rsidP="00D9341C">
      <w:pPr>
        <w:pStyle w:val="Corpodetexto"/>
        <w:spacing w:line="288" w:lineRule="auto"/>
        <w:ind w:left="100" w:right="38"/>
        <w:jc w:val="both"/>
        <w:rPr>
          <w:rFonts w:ascii="Arial" w:hAnsi="Arial" w:cs="Arial"/>
          <w:sz w:val="24"/>
          <w:szCs w:val="24"/>
        </w:rPr>
      </w:pPr>
    </w:p>
    <w:p w:rsidR="00A20C92" w:rsidRPr="00FC1825" w:rsidRDefault="00D9341C" w:rsidP="00D9341C">
      <w:pPr>
        <w:pStyle w:val="Ttulo2"/>
        <w:numPr>
          <w:ilvl w:val="0"/>
          <w:numId w:val="3"/>
        </w:numPr>
        <w:tabs>
          <w:tab w:val="left" w:pos="509"/>
        </w:tabs>
        <w:spacing w:before="154" w:line="264" w:lineRule="auto"/>
        <w:ind w:right="459"/>
        <w:rPr>
          <w:rFonts w:ascii="Arial" w:hAnsi="Arial" w:cs="Arial"/>
          <w:sz w:val="24"/>
          <w:szCs w:val="24"/>
          <w:u w:val="single"/>
        </w:rPr>
      </w:pPr>
      <w:r w:rsidRPr="00FC1825">
        <w:rPr>
          <w:rFonts w:ascii="Arial" w:hAnsi="Arial" w:cs="Arial"/>
          <w:color w:val="231F20"/>
          <w:sz w:val="24"/>
          <w:szCs w:val="24"/>
          <w:u w:val="single"/>
        </w:rPr>
        <w:t>COMPARAÇÃO</w:t>
      </w:r>
      <w:r w:rsidRPr="00FC1825">
        <w:rPr>
          <w:rFonts w:ascii="Arial" w:hAnsi="Arial" w:cs="Arial"/>
          <w:color w:val="231F20"/>
          <w:spacing w:val="-23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ENTRE</w:t>
      </w:r>
      <w:r w:rsidRPr="00FC1825">
        <w:rPr>
          <w:rFonts w:ascii="Arial" w:hAnsi="Arial" w:cs="Arial"/>
          <w:color w:val="231F20"/>
          <w:spacing w:val="-22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A</w:t>
      </w:r>
      <w:r w:rsidRPr="00FC1825">
        <w:rPr>
          <w:rFonts w:ascii="Arial" w:hAnsi="Arial" w:cs="Arial"/>
          <w:color w:val="231F20"/>
          <w:spacing w:val="-22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HOLDING</w:t>
      </w:r>
      <w:r w:rsidRPr="00FC1825">
        <w:rPr>
          <w:rFonts w:ascii="Arial" w:hAnsi="Arial" w:cs="Arial"/>
          <w:color w:val="231F20"/>
          <w:spacing w:val="-22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FAMILIAR</w:t>
      </w:r>
      <w:r w:rsidRPr="00FC1825">
        <w:rPr>
          <w:rFonts w:ascii="Arial" w:hAnsi="Arial" w:cs="Arial"/>
          <w:color w:val="231F20"/>
          <w:spacing w:val="-25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E</w:t>
      </w:r>
      <w:r w:rsidRPr="00FC1825">
        <w:rPr>
          <w:rFonts w:ascii="Arial" w:hAnsi="Arial" w:cs="Arial"/>
          <w:color w:val="231F20"/>
          <w:spacing w:val="-22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A</w:t>
      </w:r>
      <w:r w:rsidRPr="00FC1825">
        <w:rPr>
          <w:rFonts w:ascii="Arial" w:hAnsi="Arial" w:cs="Arial"/>
          <w:color w:val="231F20"/>
          <w:spacing w:val="-23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INSTAURAÇÃO DE UM</w:t>
      </w:r>
      <w:r w:rsidRPr="00FC1825">
        <w:rPr>
          <w:rFonts w:ascii="Arial" w:hAnsi="Arial" w:cs="Arial"/>
          <w:color w:val="231F20"/>
          <w:spacing w:val="-3"/>
          <w:sz w:val="24"/>
          <w:szCs w:val="24"/>
          <w:u w:val="single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  <w:u w:val="single"/>
        </w:rPr>
        <w:t>INVENTÁRIO:</w:t>
      </w:r>
    </w:p>
    <w:p w:rsidR="00A20C92" w:rsidRPr="00FC1825" w:rsidRDefault="00971592" w:rsidP="00D9341C">
      <w:pPr>
        <w:pStyle w:val="Corpodetexto"/>
        <w:spacing w:before="135" w:line="288" w:lineRule="auto"/>
        <w:ind w:left="100" w:right="457"/>
        <w:jc w:val="both"/>
        <w:rPr>
          <w:rFonts w:ascii="Arial" w:hAnsi="Arial" w:cs="Arial"/>
          <w:color w:val="231F20"/>
          <w:sz w:val="24"/>
          <w:szCs w:val="24"/>
        </w:rPr>
      </w:pPr>
      <w:r w:rsidRPr="00FC1825">
        <w:rPr>
          <w:rFonts w:ascii="Arial" w:hAnsi="Arial" w:cs="Arial"/>
          <w:color w:val="231F20"/>
          <w:sz w:val="24"/>
          <w:szCs w:val="24"/>
        </w:rPr>
        <w:t>A constituição d</w:t>
      </w:r>
      <w:r w:rsidR="001443C1">
        <w:rPr>
          <w:rFonts w:ascii="Arial" w:hAnsi="Arial" w:cs="Arial"/>
          <w:color w:val="231F20"/>
          <w:sz w:val="24"/>
          <w:szCs w:val="24"/>
        </w:rPr>
        <w:t xml:space="preserve">e uma holding familiar, como se </w:t>
      </w:r>
      <w:r w:rsidRPr="00FC1825">
        <w:rPr>
          <w:rFonts w:ascii="Arial" w:hAnsi="Arial" w:cs="Arial"/>
          <w:color w:val="231F20"/>
          <w:sz w:val="24"/>
          <w:szCs w:val="24"/>
        </w:rPr>
        <w:t>pode observar, resolve a questão da administração da empres</w:t>
      </w:r>
      <w:r w:rsidR="001443C1">
        <w:rPr>
          <w:rFonts w:ascii="Arial" w:hAnsi="Arial" w:cs="Arial"/>
          <w:color w:val="231F20"/>
          <w:sz w:val="24"/>
          <w:szCs w:val="24"/>
        </w:rPr>
        <w:t xml:space="preserve">a antecipadamente ao evento da falta do patriarca, ou </w:t>
      </w:r>
      <w:r w:rsidRPr="00FC1825">
        <w:rPr>
          <w:rFonts w:ascii="Arial" w:hAnsi="Arial" w:cs="Arial"/>
          <w:color w:val="231F20"/>
          <w:sz w:val="24"/>
          <w:szCs w:val="24"/>
        </w:rPr>
        <w:t>seja, a sucessão do patrimônio e da gestão da empresa já for</w:t>
      </w:r>
      <w:r w:rsidRPr="00FC1825">
        <w:rPr>
          <w:rFonts w:ascii="Arial" w:hAnsi="Arial" w:cs="Arial"/>
          <w:color w:val="231F20"/>
          <w:sz w:val="24"/>
          <w:szCs w:val="24"/>
        </w:rPr>
        <w:t>am decididas em vida sob a tutela do empresário(a). A transição e o novo modelo de gestão podem ser testados de tal forma a permitir uma sucessão tranquila. Portanto, não há interrupção da gestão dos bens e negócios da família.</w:t>
      </w:r>
    </w:p>
    <w:p w:rsidR="00D9341C" w:rsidRPr="00FC1825" w:rsidRDefault="00D9341C" w:rsidP="00D9341C">
      <w:pPr>
        <w:pStyle w:val="Corpodetexto"/>
        <w:spacing w:before="135" w:line="288" w:lineRule="auto"/>
        <w:ind w:left="100" w:right="457"/>
        <w:jc w:val="both"/>
        <w:rPr>
          <w:rFonts w:ascii="Arial" w:hAnsi="Arial" w:cs="Arial"/>
          <w:sz w:val="24"/>
          <w:szCs w:val="24"/>
        </w:rPr>
      </w:pPr>
    </w:p>
    <w:p w:rsidR="00A20C92" w:rsidRPr="00FC1825" w:rsidRDefault="00971592" w:rsidP="00D9341C">
      <w:pPr>
        <w:pStyle w:val="Corpodetexto"/>
        <w:spacing w:line="288" w:lineRule="auto"/>
        <w:ind w:left="100" w:right="457"/>
        <w:jc w:val="both"/>
        <w:rPr>
          <w:rFonts w:ascii="Arial" w:hAnsi="Arial" w:cs="Arial"/>
          <w:color w:val="231F20"/>
          <w:sz w:val="24"/>
          <w:szCs w:val="24"/>
        </w:rPr>
      </w:pPr>
      <w:r w:rsidRPr="00FC1825">
        <w:rPr>
          <w:rFonts w:ascii="Arial" w:hAnsi="Arial" w:cs="Arial"/>
          <w:color w:val="231F20"/>
          <w:sz w:val="24"/>
          <w:szCs w:val="24"/>
        </w:rPr>
        <w:t>No caso de um processo inven</w:t>
      </w:r>
      <w:r w:rsidRPr="00FC1825">
        <w:rPr>
          <w:rFonts w:ascii="Arial" w:hAnsi="Arial" w:cs="Arial"/>
          <w:color w:val="231F20"/>
          <w:sz w:val="24"/>
          <w:szCs w:val="24"/>
        </w:rPr>
        <w:t>tarial ou testamentário, a morte do administrador surpreende a família e a empresa, e sua gestão se tornará mais um assunto dentro do inventário. Caso os herdeiros não consigam uma solução consensual, o processo de partilha dos bens pode ser marcado por di</w:t>
      </w:r>
      <w:r w:rsidRPr="00FC1825">
        <w:rPr>
          <w:rFonts w:ascii="Arial" w:hAnsi="Arial" w:cs="Arial"/>
          <w:color w:val="231F20"/>
          <w:sz w:val="24"/>
          <w:szCs w:val="24"/>
        </w:rPr>
        <w:t>sputas, o que pode tornar o inventário litigioso, e prejudicar a administração da empresa. Mesmo após o encerramento da disputa pelos bens, ainda podem surgir disputas pelo controle da empresa.</w:t>
      </w:r>
    </w:p>
    <w:p w:rsidR="00A20C92" w:rsidRPr="00FC1825" w:rsidRDefault="00971592" w:rsidP="00D9341C">
      <w:pPr>
        <w:pStyle w:val="Corpodetexto"/>
        <w:spacing w:line="288" w:lineRule="auto"/>
        <w:ind w:left="100" w:right="457"/>
        <w:jc w:val="both"/>
        <w:rPr>
          <w:rFonts w:ascii="Arial" w:hAnsi="Arial" w:cs="Arial"/>
          <w:color w:val="231F20"/>
          <w:sz w:val="24"/>
          <w:szCs w:val="24"/>
        </w:rPr>
      </w:pPr>
      <w:bookmarkStart w:id="0" w:name="_GoBack"/>
      <w:bookmarkEnd w:id="0"/>
      <w:r w:rsidRPr="00FC1825">
        <w:rPr>
          <w:rFonts w:ascii="Arial" w:hAnsi="Arial" w:cs="Arial"/>
          <w:color w:val="231F20"/>
          <w:sz w:val="24"/>
          <w:szCs w:val="24"/>
        </w:rPr>
        <w:lastRenderedPageBreak/>
        <w:t xml:space="preserve">No caso de implementação da </w:t>
      </w:r>
      <w:r w:rsidRPr="00FC1825">
        <w:rPr>
          <w:rFonts w:ascii="Arial" w:hAnsi="Arial" w:cs="Arial"/>
          <w:i/>
          <w:color w:val="231F20"/>
          <w:sz w:val="24"/>
          <w:szCs w:val="24"/>
        </w:rPr>
        <w:t>holding</w:t>
      </w:r>
      <w:r w:rsidRPr="00FC1825">
        <w:rPr>
          <w:rFonts w:ascii="Arial" w:hAnsi="Arial" w:cs="Arial"/>
          <w:color w:val="231F20"/>
          <w:sz w:val="24"/>
          <w:szCs w:val="24"/>
        </w:rPr>
        <w:t xml:space="preserve">, no momento </w:t>
      </w:r>
      <w:r w:rsidRPr="00FC1825">
        <w:rPr>
          <w:rFonts w:ascii="Arial" w:hAnsi="Arial" w:cs="Arial"/>
          <w:color w:val="231F20"/>
          <w:spacing w:val="-4"/>
          <w:sz w:val="24"/>
          <w:szCs w:val="24"/>
        </w:rPr>
        <w:t xml:space="preserve">que </w:t>
      </w:r>
      <w:r w:rsidRPr="00FC1825">
        <w:rPr>
          <w:rFonts w:ascii="Arial" w:hAnsi="Arial" w:cs="Arial"/>
          <w:color w:val="231F20"/>
          <w:sz w:val="24"/>
          <w:szCs w:val="24"/>
        </w:rPr>
        <w:t>o patriarc</w:t>
      </w:r>
      <w:r w:rsidRPr="00FC1825">
        <w:rPr>
          <w:rFonts w:ascii="Arial" w:hAnsi="Arial" w:cs="Arial"/>
          <w:color w:val="231F20"/>
          <w:sz w:val="24"/>
          <w:szCs w:val="24"/>
        </w:rPr>
        <w:t>a venha a faltar, os bens já não estarão mais em seu nome,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não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havendo,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portanto,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bens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a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dividir.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Caso</w:t>
      </w:r>
      <w:r w:rsidRPr="00FC1825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contrário,</w:t>
      </w:r>
      <w:r w:rsidRPr="00FC1825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pacing w:val="-11"/>
          <w:sz w:val="24"/>
          <w:szCs w:val="24"/>
        </w:rPr>
        <w:t xml:space="preserve">a </w:t>
      </w:r>
      <w:r w:rsidRPr="00FC1825">
        <w:rPr>
          <w:rFonts w:ascii="Arial" w:hAnsi="Arial" w:cs="Arial"/>
          <w:color w:val="231F20"/>
          <w:sz w:val="24"/>
          <w:szCs w:val="24"/>
        </w:rPr>
        <w:t>família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terá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que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arcar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com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as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custas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de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partilha</w:t>
      </w:r>
      <w:r w:rsidRPr="00FC1825">
        <w:rPr>
          <w:rFonts w:ascii="Arial" w:hAnsi="Arial" w:cs="Arial"/>
          <w:color w:val="231F20"/>
          <w:spacing w:val="-18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e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de</w:t>
      </w:r>
      <w:r w:rsidRPr="00FC1825"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 xml:space="preserve">transmissão dos bens, o que envolve os honorários advocatícios (de 2% </w:t>
      </w:r>
      <w:r w:rsidRPr="00FC1825">
        <w:rPr>
          <w:rFonts w:ascii="Arial" w:hAnsi="Arial" w:cs="Arial"/>
          <w:color w:val="231F20"/>
          <w:spacing w:val="-15"/>
          <w:sz w:val="24"/>
          <w:szCs w:val="24"/>
        </w:rPr>
        <w:t xml:space="preserve">a </w:t>
      </w:r>
      <w:r w:rsidRPr="00FC1825">
        <w:rPr>
          <w:rFonts w:ascii="Arial" w:hAnsi="Arial" w:cs="Arial"/>
          <w:color w:val="231F20"/>
          <w:sz w:val="24"/>
          <w:szCs w:val="24"/>
        </w:rPr>
        <w:t>10% do patrimônio), o ITCMD (4% do patrimônio), as</w:t>
      </w:r>
      <w:r w:rsidRPr="00FC1825">
        <w:rPr>
          <w:rFonts w:ascii="Arial" w:hAnsi="Arial" w:cs="Arial"/>
          <w:color w:val="231F20"/>
          <w:spacing w:val="-30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custas processuais (3.000 UFERMS – R$</w:t>
      </w:r>
      <w:r w:rsidR="007A0347" w:rsidRPr="00FC1825">
        <w:rPr>
          <w:rFonts w:ascii="Arial" w:hAnsi="Arial" w:cs="Arial"/>
          <w:color w:val="231F20"/>
          <w:sz w:val="24"/>
          <w:szCs w:val="24"/>
        </w:rPr>
        <w:t xml:space="preserve"> 121.560,00 em Maio</w:t>
      </w:r>
      <w:r w:rsidRPr="00FC1825">
        <w:rPr>
          <w:rFonts w:ascii="Arial" w:hAnsi="Arial" w:cs="Arial"/>
          <w:color w:val="231F20"/>
          <w:sz w:val="24"/>
          <w:szCs w:val="24"/>
        </w:rPr>
        <w:t>/20</w:t>
      </w:r>
      <w:r w:rsidR="007A0347" w:rsidRPr="00FC1825">
        <w:rPr>
          <w:rFonts w:ascii="Arial" w:hAnsi="Arial" w:cs="Arial"/>
          <w:color w:val="231F20"/>
          <w:sz w:val="24"/>
          <w:szCs w:val="24"/>
        </w:rPr>
        <w:t>21</w:t>
      </w:r>
      <w:r w:rsidRPr="00FC1825">
        <w:rPr>
          <w:rFonts w:ascii="Arial" w:hAnsi="Arial" w:cs="Arial"/>
          <w:color w:val="231F20"/>
          <w:sz w:val="24"/>
          <w:szCs w:val="24"/>
        </w:rPr>
        <w:t>), e os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emolumentos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cartoriais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(até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R$</w:t>
      </w:r>
      <w:r w:rsidR="007A0347" w:rsidRPr="00FC1825">
        <w:rPr>
          <w:rFonts w:ascii="Arial" w:hAnsi="Arial" w:cs="Arial"/>
          <w:color w:val="231F20"/>
          <w:sz w:val="24"/>
          <w:szCs w:val="24"/>
        </w:rPr>
        <w:t xml:space="preserve"> 8</w:t>
      </w:r>
      <w:r w:rsidRPr="00FC1825">
        <w:rPr>
          <w:rFonts w:ascii="Arial" w:hAnsi="Arial" w:cs="Arial"/>
          <w:color w:val="231F20"/>
          <w:sz w:val="24"/>
          <w:szCs w:val="24"/>
        </w:rPr>
        <w:t>.500,00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por</w:t>
      </w:r>
      <w:r w:rsidRPr="00FC1825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z w:val="24"/>
          <w:szCs w:val="24"/>
        </w:rPr>
        <w:t>imóvel).</w:t>
      </w:r>
      <w:r w:rsidRPr="00FC1825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FC1825">
        <w:rPr>
          <w:rFonts w:ascii="Arial" w:hAnsi="Arial" w:cs="Arial"/>
          <w:color w:val="231F20"/>
          <w:spacing w:val="-4"/>
          <w:sz w:val="24"/>
          <w:szCs w:val="24"/>
        </w:rPr>
        <w:t xml:space="preserve">Como </w:t>
      </w:r>
      <w:r w:rsidRPr="00FC1825">
        <w:rPr>
          <w:rFonts w:ascii="Arial" w:hAnsi="Arial" w:cs="Arial"/>
          <w:color w:val="231F20"/>
          <w:sz w:val="24"/>
          <w:szCs w:val="24"/>
        </w:rPr>
        <w:t>o não pagamento do ITCMD pode interromper o processo, pode ser que a família tenha</w:t>
      </w:r>
      <w:r w:rsidRPr="00FC1825">
        <w:rPr>
          <w:rFonts w:ascii="Arial" w:hAnsi="Arial" w:cs="Arial"/>
          <w:color w:val="231F20"/>
          <w:sz w:val="24"/>
          <w:szCs w:val="24"/>
        </w:rPr>
        <w:t xml:space="preserve"> que se desfazer de algum bem para cobrir as despesas da ação.</w:t>
      </w:r>
    </w:p>
    <w:p w:rsidR="00A20C92" w:rsidRDefault="00A20C92">
      <w:pPr>
        <w:pStyle w:val="Corpodetexto"/>
        <w:rPr>
          <w:rFonts w:ascii="Arial" w:hAnsi="Arial" w:cs="Arial"/>
          <w:sz w:val="24"/>
          <w:szCs w:val="24"/>
        </w:rPr>
      </w:pPr>
    </w:p>
    <w:p w:rsidR="00FC1825" w:rsidRDefault="00FC1825">
      <w:pPr>
        <w:pStyle w:val="Corpodetexto"/>
        <w:rPr>
          <w:rFonts w:ascii="Arial" w:hAnsi="Arial" w:cs="Arial"/>
          <w:sz w:val="24"/>
          <w:szCs w:val="24"/>
        </w:rPr>
      </w:pPr>
    </w:p>
    <w:p w:rsidR="00FC1825" w:rsidRPr="00FC1825" w:rsidRDefault="00FC1825" w:rsidP="00FC1825">
      <w:pPr>
        <w:pStyle w:val="Corpodetexto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FC1825">
        <w:rPr>
          <w:rFonts w:ascii="Arial" w:hAnsi="Arial" w:cs="Arial"/>
          <w:b/>
          <w:sz w:val="24"/>
          <w:szCs w:val="24"/>
          <w:u w:val="single"/>
        </w:rPr>
        <w:t>OUTROS IMPOSTOS QUE INCIDEM NO INVENTÁRIO:</w:t>
      </w:r>
    </w:p>
    <w:p w:rsidR="00A20C92" w:rsidRPr="00FC1825" w:rsidRDefault="00A20C92">
      <w:pPr>
        <w:pStyle w:val="Corpodetexto"/>
        <w:rPr>
          <w:rFonts w:ascii="Arial" w:hAnsi="Arial" w:cs="Arial"/>
          <w:sz w:val="24"/>
          <w:szCs w:val="24"/>
        </w:rPr>
      </w:pPr>
    </w:p>
    <w:p w:rsidR="00A20C92" w:rsidRPr="00FC1825" w:rsidRDefault="00A20C92" w:rsidP="00FC1825">
      <w:pPr>
        <w:jc w:val="both"/>
        <w:rPr>
          <w:rFonts w:ascii="Arial" w:hAnsi="Arial" w:cs="Arial"/>
          <w:sz w:val="24"/>
          <w:szCs w:val="24"/>
        </w:rPr>
      </w:pPr>
    </w:p>
    <w:p w:rsidR="00A20C92" w:rsidRPr="00FC1825" w:rsidRDefault="00415AB3" w:rsidP="00FC1825">
      <w:pPr>
        <w:jc w:val="both"/>
        <w:rPr>
          <w:rFonts w:ascii="Arial" w:hAnsi="Arial" w:cs="Arial"/>
          <w:sz w:val="24"/>
          <w:szCs w:val="24"/>
        </w:rPr>
      </w:pPr>
      <w:r w:rsidRPr="00FC1825">
        <w:rPr>
          <w:rFonts w:ascii="Arial" w:hAnsi="Arial" w:cs="Arial"/>
          <w:sz w:val="24"/>
          <w:szCs w:val="24"/>
        </w:rPr>
        <w:t xml:space="preserve">Decreto nº 5.087/1989 – </w:t>
      </w:r>
      <w:r w:rsidRPr="0084589F">
        <w:rPr>
          <w:rFonts w:ascii="Arial" w:hAnsi="Arial" w:cs="Arial"/>
          <w:b/>
          <w:sz w:val="24"/>
          <w:szCs w:val="24"/>
        </w:rPr>
        <w:t>ITCD</w:t>
      </w:r>
      <w:r w:rsidRPr="00FC1825">
        <w:rPr>
          <w:rFonts w:ascii="Arial" w:hAnsi="Arial" w:cs="Arial"/>
          <w:sz w:val="24"/>
          <w:szCs w:val="24"/>
        </w:rPr>
        <w:t xml:space="preserve"> – art. 7 - alíquota 4%</w:t>
      </w:r>
    </w:p>
    <w:p w:rsidR="00A20C92" w:rsidRPr="00FC1825" w:rsidRDefault="00A20C92" w:rsidP="00FC1825">
      <w:pPr>
        <w:jc w:val="both"/>
        <w:rPr>
          <w:rFonts w:ascii="Arial" w:hAnsi="Arial" w:cs="Arial"/>
          <w:sz w:val="24"/>
          <w:szCs w:val="24"/>
        </w:rPr>
      </w:pPr>
    </w:p>
    <w:p w:rsidR="00A20C92" w:rsidRPr="00FC1825" w:rsidRDefault="00A20C92" w:rsidP="00FC1825">
      <w:pPr>
        <w:jc w:val="both"/>
        <w:rPr>
          <w:rFonts w:ascii="Arial" w:hAnsi="Arial" w:cs="Arial"/>
          <w:sz w:val="24"/>
          <w:szCs w:val="24"/>
        </w:rPr>
      </w:pPr>
    </w:p>
    <w:p w:rsidR="00FC1825" w:rsidRPr="00FC1825" w:rsidRDefault="00FC1825" w:rsidP="00FC1825">
      <w:pPr>
        <w:jc w:val="both"/>
        <w:rPr>
          <w:rFonts w:ascii="Arial" w:hAnsi="Arial" w:cs="Arial"/>
          <w:sz w:val="24"/>
          <w:szCs w:val="24"/>
        </w:rPr>
      </w:pPr>
      <w:r w:rsidRPr="00FC1825">
        <w:rPr>
          <w:rFonts w:ascii="Arial" w:hAnsi="Arial" w:cs="Arial"/>
          <w:sz w:val="24"/>
          <w:szCs w:val="24"/>
        </w:rPr>
        <w:t xml:space="preserve">Lei 2.592/89 – </w:t>
      </w:r>
      <w:r w:rsidRPr="0084589F">
        <w:rPr>
          <w:rFonts w:ascii="Arial" w:hAnsi="Arial" w:cs="Arial"/>
          <w:b/>
          <w:sz w:val="24"/>
          <w:szCs w:val="24"/>
        </w:rPr>
        <w:t>ITBI</w:t>
      </w:r>
      <w:r w:rsidRPr="00FC1825">
        <w:rPr>
          <w:rFonts w:ascii="Arial" w:hAnsi="Arial" w:cs="Arial"/>
          <w:sz w:val="24"/>
          <w:szCs w:val="24"/>
        </w:rPr>
        <w:t xml:space="preserve"> - art. 8º - alíquota 2%</w:t>
      </w:r>
    </w:p>
    <w:p w:rsidR="00FC1825" w:rsidRDefault="00FC1825" w:rsidP="00FC1825">
      <w:pPr>
        <w:pStyle w:val="Ttulo1"/>
        <w:shd w:val="clear" w:color="auto" w:fill="FFFFFF"/>
        <w:spacing w:before="0" w:after="120" w:line="288" w:lineRule="atLeast"/>
        <w:ind w:left="0"/>
        <w:rPr>
          <w:rFonts w:ascii="Arial" w:hAnsi="Arial" w:cs="Arial"/>
          <w:color w:val="404040"/>
          <w:sz w:val="24"/>
          <w:szCs w:val="24"/>
        </w:rPr>
      </w:pPr>
    </w:p>
    <w:p w:rsidR="00FC1825" w:rsidRDefault="00FC1825" w:rsidP="00FC1825">
      <w:pPr>
        <w:pStyle w:val="Ttulo1"/>
        <w:shd w:val="clear" w:color="auto" w:fill="FFFFFF"/>
        <w:spacing w:before="0" w:after="120" w:line="288" w:lineRule="atLeast"/>
        <w:ind w:left="0"/>
        <w:rPr>
          <w:rFonts w:ascii="Arial" w:hAnsi="Arial" w:cs="Arial"/>
          <w:color w:val="404040"/>
          <w:sz w:val="24"/>
          <w:szCs w:val="24"/>
        </w:rPr>
      </w:pPr>
    </w:p>
    <w:p w:rsidR="00FC1825" w:rsidRDefault="00FC1825" w:rsidP="00FC1825">
      <w:pPr>
        <w:pStyle w:val="Ttulo1"/>
        <w:numPr>
          <w:ilvl w:val="0"/>
          <w:numId w:val="3"/>
        </w:numPr>
        <w:shd w:val="clear" w:color="auto" w:fill="FFFFFF"/>
        <w:spacing w:before="0" w:after="120" w:line="288" w:lineRule="atLeast"/>
        <w:rPr>
          <w:rFonts w:ascii="Arial" w:hAnsi="Arial" w:cs="Arial"/>
          <w:b/>
          <w:color w:val="404040"/>
          <w:sz w:val="24"/>
          <w:szCs w:val="24"/>
          <w:u w:val="single"/>
        </w:rPr>
      </w:pPr>
      <w:r w:rsidRPr="00FC1825">
        <w:rPr>
          <w:rFonts w:ascii="Arial" w:hAnsi="Arial" w:cs="Arial"/>
          <w:b/>
          <w:color w:val="404040"/>
          <w:sz w:val="24"/>
          <w:szCs w:val="24"/>
          <w:u w:val="single"/>
        </w:rPr>
        <w:t>SIMPLES NACIONAL:</w:t>
      </w:r>
    </w:p>
    <w:p w:rsidR="00FC1825" w:rsidRPr="00FC1825" w:rsidRDefault="00FC1825" w:rsidP="00FC1825">
      <w:pPr>
        <w:pStyle w:val="Ttulo1"/>
        <w:shd w:val="clear" w:color="auto" w:fill="FFFFFF"/>
        <w:spacing w:before="0" w:after="120" w:line="288" w:lineRule="atLeast"/>
        <w:ind w:left="601"/>
        <w:rPr>
          <w:rFonts w:ascii="Arial" w:hAnsi="Arial" w:cs="Arial"/>
          <w:b/>
          <w:color w:val="404040"/>
          <w:sz w:val="24"/>
          <w:szCs w:val="24"/>
          <w:u w:val="single"/>
        </w:rPr>
      </w:pPr>
    </w:p>
    <w:p w:rsidR="00FC1825" w:rsidRPr="00FC1825" w:rsidRDefault="00FC1825" w:rsidP="00FC1825">
      <w:pPr>
        <w:jc w:val="both"/>
        <w:rPr>
          <w:rFonts w:ascii="Arial" w:hAnsi="Arial" w:cs="Arial"/>
          <w:sz w:val="24"/>
          <w:szCs w:val="24"/>
        </w:rPr>
      </w:pPr>
      <w:r w:rsidRPr="00FC1825">
        <w:rPr>
          <w:rFonts w:ascii="Arial" w:hAnsi="Arial" w:cs="Arial"/>
          <w:sz w:val="24"/>
          <w:szCs w:val="24"/>
        </w:rPr>
        <w:t>Art. 15. Não poderá recolher os tributos na forma do </w:t>
      </w:r>
      <w:hyperlink r:id="rId9" w:history="1">
        <w:r w:rsidRPr="00FC18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Simples Nacional</w:t>
        </w:r>
      </w:hyperlink>
      <w:r w:rsidRPr="00FC1825">
        <w:rPr>
          <w:rFonts w:ascii="Arial" w:hAnsi="Arial" w:cs="Arial"/>
          <w:sz w:val="24"/>
          <w:szCs w:val="24"/>
        </w:rPr>
        <w:t> a ME ou EPP: (Lei Complementar nº 123, de 2006, art. 17, caput)</w:t>
      </w:r>
    </w:p>
    <w:p w:rsidR="00FC1825" w:rsidRPr="00FC1825" w:rsidRDefault="00FC1825" w:rsidP="00FC1825">
      <w:pPr>
        <w:jc w:val="both"/>
        <w:rPr>
          <w:rFonts w:ascii="Arial" w:hAnsi="Arial" w:cs="Arial"/>
          <w:sz w:val="24"/>
          <w:szCs w:val="24"/>
        </w:rPr>
      </w:pPr>
      <w:r w:rsidRPr="00FC1825">
        <w:rPr>
          <w:rFonts w:ascii="Arial" w:hAnsi="Arial" w:cs="Arial"/>
          <w:sz w:val="24"/>
          <w:szCs w:val="24"/>
        </w:rPr>
        <w:br/>
        <w:t>II - de cujo capital participe outra pessoa jurídica; (Lei Complementar nº 123, de 2006, art. 3º, § 4º, inciso I)</w:t>
      </w:r>
    </w:p>
    <w:p w:rsidR="00FC1825" w:rsidRPr="00FC1825" w:rsidRDefault="00FC1825" w:rsidP="00FC1825">
      <w:pPr>
        <w:pStyle w:val="Ttulo1"/>
        <w:shd w:val="clear" w:color="auto" w:fill="FFFFFF"/>
        <w:spacing w:before="0" w:after="120" w:line="288" w:lineRule="atLeast"/>
        <w:ind w:left="0"/>
        <w:rPr>
          <w:rFonts w:ascii="Arial" w:hAnsi="Arial" w:cs="Arial"/>
          <w:color w:val="404040"/>
          <w:sz w:val="24"/>
          <w:szCs w:val="24"/>
        </w:rPr>
      </w:pPr>
    </w:p>
    <w:p w:rsidR="00FC1825" w:rsidRPr="00FC1825" w:rsidRDefault="00FC1825">
      <w:pPr>
        <w:pStyle w:val="Ttulo1"/>
        <w:shd w:val="clear" w:color="auto" w:fill="FFFFFF"/>
        <w:spacing w:before="0" w:after="120" w:line="288" w:lineRule="atLeast"/>
        <w:ind w:left="0"/>
        <w:rPr>
          <w:rFonts w:ascii="Arial" w:hAnsi="Arial" w:cs="Arial"/>
          <w:color w:val="404040"/>
          <w:sz w:val="24"/>
          <w:szCs w:val="24"/>
        </w:rPr>
      </w:pPr>
    </w:p>
    <w:sectPr w:rsidR="00FC1825" w:rsidRPr="00FC1825" w:rsidSect="00D676E6">
      <w:headerReference w:type="even" r:id="rId10"/>
      <w:footerReference w:type="even" r:id="rId11"/>
      <w:type w:val="continuous"/>
      <w:pgSz w:w="11340" w:h="15880"/>
      <w:pgMar w:top="640" w:right="56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92" w:rsidRDefault="00971592">
      <w:r>
        <w:separator/>
      </w:r>
    </w:p>
  </w:endnote>
  <w:endnote w:type="continuationSeparator" w:id="0">
    <w:p w:rsidR="00971592" w:rsidRDefault="009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2" w:rsidRDefault="00D676E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63616" behindDoc="1" locked="0" layoutInCell="1" allowOverlap="1">
              <wp:simplePos x="0" y="0"/>
              <wp:positionH relativeFrom="page">
                <wp:posOffset>4627880</wp:posOffset>
              </wp:positionH>
              <wp:positionV relativeFrom="page">
                <wp:posOffset>9651365</wp:posOffset>
              </wp:positionV>
              <wp:extent cx="1942465" cy="13843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C92" w:rsidRDefault="00971592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pacing w:val="-3"/>
                              <w:sz w:val="16"/>
                            </w:rPr>
                            <w:t xml:space="preserve">Rev. </w:t>
                          </w: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 xml:space="preserve">Cienc. Gerenc., </w:t>
                          </w:r>
                          <w:r>
                            <w:rPr>
                              <w:i/>
                              <w:color w:val="231F20"/>
                              <w:spacing w:val="-6"/>
                              <w:sz w:val="16"/>
                            </w:rPr>
                            <w:t xml:space="preserve">v. </w:t>
                          </w: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>23, n.37, p. 57-63,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4.4pt;margin-top:759.95pt;width:152.95pt;height:10.9pt;z-index:-252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sxrg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" filled="f" stroked="f">
              <v:textbox inset="0,0,0,0">
                <w:txbxContent>
                  <w:p w:rsidR="00A20C92" w:rsidRDefault="00971592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16"/>
                      </w:rPr>
                      <w:t xml:space="preserve">Rev. </w:t>
                    </w:r>
                    <w:r>
                      <w:rPr>
                        <w:i/>
                        <w:color w:val="231F20"/>
                        <w:sz w:val="16"/>
                      </w:rPr>
                      <w:t xml:space="preserve">Cienc. Gerenc., </w:t>
                    </w:r>
                    <w:r>
                      <w:rPr>
                        <w:i/>
                        <w:color w:val="231F20"/>
                        <w:spacing w:val="-6"/>
                        <w:sz w:val="16"/>
                      </w:rPr>
                      <w:t xml:space="preserve">v. </w:t>
                    </w:r>
                    <w:r>
                      <w:rPr>
                        <w:i/>
                        <w:color w:val="231F20"/>
                        <w:sz w:val="16"/>
                      </w:rPr>
                      <w:t>23, n.37, p. 57-63,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64640" behindDoc="1" locked="0" layoutInCell="1" allowOverlap="1">
              <wp:simplePos x="0" y="0"/>
              <wp:positionH relativeFrom="page">
                <wp:posOffset>6647180</wp:posOffset>
              </wp:positionH>
              <wp:positionV relativeFrom="page">
                <wp:posOffset>9650095</wp:posOffset>
              </wp:positionV>
              <wp:extent cx="133350" cy="14541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C92" w:rsidRDefault="00971592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z w:val="17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23.4pt;margin-top:759.85pt;width:10.5pt;height:11.45pt;z-index:-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P4rgIAAK8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" filled="f" stroked="f">
              <v:textbox inset="0,0,0,0">
                <w:txbxContent>
                  <w:p w:rsidR="00A20C92" w:rsidRDefault="00971592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2" w:rsidRDefault="00A20C9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2" w:rsidRDefault="00A20C9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92" w:rsidRDefault="00971592">
      <w:r>
        <w:separator/>
      </w:r>
    </w:p>
  </w:footnote>
  <w:footnote w:type="continuationSeparator" w:id="0">
    <w:p w:rsidR="00971592" w:rsidRDefault="0097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2" w:rsidRDefault="00A20C9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A0A"/>
    <w:multiLevelType w:val="multilevel"/>
    <w:tmpl w:val="38428B8C"/>
    <w:lvl w:ilvl="0">
      <w:start w:val="1"/>
      <w:numFmt w:val="decimal"/>
      <w:lvlText w:val="%1"/>
      <w:lvlJc w:val="left"/>
      <w:pPr>
        <w:ind w:left="210" w:hanging="96"/>
        <w:jc w:val="right"/>
      </w:pPr>
      <w:rPr>
        <w:rFonts w:hint="default"/>
        <w:b/>
        <w:bCs/>
        <w:w w:val="103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85" w:hanging="28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9"/>
        <w:szCs w:val="19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527" w:hanging="428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9"/>
        <w:szCs w:val="19"/>
        <w:lang w:val="en-US" w:eastAsia="en-US" w:bidi="en-US"/>
      </w:rPr>
    </w:lvl>
    <w:lvl w:ilvl="3">
      <w:numFmt w:val="bullet"/>
      <w:lvlText w:val="•"/>
      <w:lvlJc w:val="left"/>
      <w:pPr>
        <w:ind w:left="520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80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40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000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9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50760D2A"/>
    <w:multiLevelType w:val="multilevel"/>
    <w:tmpl w:val="F704F58A"/>
    <w:lvl w:ilvl="0">
      <w:start w:val="2"/>
      <w:numFmt w:val="decimal"/>
      <w:lvlText w:val="%1"/>
      <w:lvlJc w:val="left"/>
      <w:pPr>
        <w:ind w:left="241" w:hanging="468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41" w:hanging="468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1" w:hanging="468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19"/>
        <w:szCs w:val="19"/>
        <w:lang w:val="en-US" w:eastAsia="en-US" w:bidi="en-US"/>
      </w:rPr>
    </w:lvl>
    <w:lvl w:ilvl="3">
      <w:numFmt w:val="bullet"/>
      <w:lvlText w:val="•"/>
      <w:lvlJc w:val="left"/>
      <w:pPr>
        <w:ind w:left="1679" w:hanging="4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59" w:hanging="4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39" w:hanging="4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119" w:hanging="4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599" w:hanging="4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079" w:hanging="468"/>
      </w:pPr>
      <w:rPr>
        <w:rFonts w:hint="default"/>
        <w:lang w:val="en-US" w:eastAsia="en-US" w:bidi="en-US"/>
      </w:rPr>
    </w:lvl>
  </w:abstractNum>
  <w:abstractNum w:abstractNumId="2" w15:restartNumberingAfterBreak="0">
    <w:nsid w:val="5DDC00EB"/>
    <w:multiLevelType w:val="hybridMultilevel"/>
    <w:tmpl w:val="303AB19C"/>
    <w:lvl w:ilvl="0" w:tplc="5546C43E">
      <w:start w:val="12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6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92"/>
    <w:rsid w:val="001443C1"/>
    <w:rsid w:val="00415AB3"/>
    <w:rsid w:val="007A0347"/>
    <w:rsid w:val="0084589F"/>
    <w:rsid w:val="00971592"/>
    <w:rsid w:val="00A20C92"/>
    <w:rsid w:val="00AD5BAB"/>
    <w:rsid w:val="00D676E6"/>
    <w:rsid w:val="00D9341C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4DD09"/>
  <w15:docId w15:val="{DD8E7C25-8B67-4434-B310-197A23D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spacing w:before="92"/>
      <w:ind w:left="241"/>
      <w:jc w:val="both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51"/>
      <w:ind w:left="527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51"/>
      <w:ind w:left="527"/>
    </w:pPr>
  </w:style>
  <w:style w:type="paragraph" w:customStyle="1" w:styleId="TableParagraph">
    <w:name w:val="Table Paragraph"/>
    <w:basedOn w:val="Normal"/>
    <w:uiPriority w:val="1"/>
    <w:qFormat/>
    <w:pPr>
      <w:spacing w:before="8" w:line="200" w:lineRule="exact"/>
    </w:pPr>
  </w:style>
  <w:style w:type="character" w:styleId="Hyperlink">
    <w:name w:val="Hyperlink"/>
    <w:basedOn w:val="Fontepargpadro"/>
    <w:uiPriority w:val="99"/>
    <w:unhideWhenUsed/>
    <w:rsid w:val="00415AB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4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3C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144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3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tabeis.com.br/tributario/simples_nac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09 - Holding familiar - 6444.indd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09 - Holding familiar - 6444.indd</dc:title>
  <dc:creator>User</dc:creator>
  <cp:lastModifiedBy>User</cp:lastModifiedBy>
  <cp:revision>6</cp:revision>
  <dcterms:created xsi:type="dcterms:W3CDTF">2021-05-27T11:39:00Z</dcterms:created>
  <dcterms:modified xsi:type="dcterms:W3CDTF">2021-05-27T12:26:00Z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2021-01-15T00:00:00Z</vt:filetime>
  </property>
</Properties>
</file>