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7E9" w:rsidRPr="003E34D3" w:rsidRDefault="003E34D3" w:rsidP="00891971">
      <w:pPr>
        <w:jc w:val="center"/>
        <w:rPr>
          <w:b/>
          <w:color w:val="231F20"/>
          <w:sz w:val="24"/>
          <w:u w:val="single"/>
        </w:rPr>
      </w:pPr>
      <w:r w:rsidRPr="003E34D3">
        <w:rPr>
          <w:b/>
          <w:color w:val="231F20"/>
          <w:sz w:val="24"/>
          <w:u w:val="single"/>
        </w:rPr>
        <w:t>HOLDING FAMILIAR: PLANEJAMENTO SUCESSÓRIO PARA EMPRESAS</w:t>
      </w:r>
    </w:p>
    <w:p w:rsidR="003E34D3" w:rsidRDefault="003E34D3" w:rsidP="00891971">
      <w:r>
        <w:rPr>
          <w:noProof/>
          <w:lang w:val="pt-BR" w:eastAsia="pt-BR" w:bidi="ar-SA"/>
        </w:rPr>
        <mc:AlternateContent>
          <mc:Choice Requires="wps">
            <w:drawing>
              <wp:anchor distT="0" distB="0" distL="114300" distR="114300" simplePos="0" relativeHeight="251659264" behindDoc="0" locked="0" layoutInCell="1" allowOverlap="1" wp14:anchorId="79A5B152" wp14:editId="64908827">
                <wp:simplePos x="0" y="0"/>
                <wp:positionH relativeFrom="column">
                  <wp:posOffset>-103917</wp:posOffset>
                </wp:positionH>
                <wp:positionV relativeFrom="paragraph">
                  <wp:posOffset>91440</wp:posOffset>
                </wp:positionV>
                <wp:extent cx="6281531" cy="23853"/>
                <wp:effectExtent l="0" t="0" r="24130" b="33655"/>
                <wp:wrapNone/>
                <wp:docPr id="3" name="Conector reto 3"/>
                <wp:cNvGraphicFramePr/>
                <a:graphic xmlns:a="http://schemas.openxmlformats.org/drawingml/2006/main">
                  <a:graphicData uri="http://schemas.microsoft.com/office/word/2010/wordprocessingShape">
                    <wps:wsp>
                      <wps:cNvCnPr/>
                      <wps:spPr>
                        <a:xfrm flipV="1">
                          <a:off x="0" y="0"/>
                          <a:ext cx="6281531" cy="23853"/>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08DF58" id="Conector reto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2pt,7.2pt" to="486.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um4QEAAAoEAAAOAAAAZHJzL2Uyb0RvYy54bWysU02P0zAQvSPxHyzfaZJWXZWo6R66Wi4I&#10;KmC5ex27tbA91tg07b9n7LTpslwQ4mL5482beW/G6/uTs+yoMBrwHW9mNWfKS+iN33f86dvjuxVn&#10;MQnfCwtedfysIr/fvH2zHkKr5nAA2ytkROJjO4SOH1IKbVVFeVBOxBkE5elRAzqR6Ij7qkcxELuz&#10;1byu76oBsA8IUsVItw/jI98Ufq2VTJ+1jiox23GqLZUVy/qc12qzFu0eRTgYeSlD/EMVThhPSSeq&#10;B5EE+4nmDypnJEIEnWYSXAVaG6mKBlLT1K/UfD2IoIoWMieGyab4/2jlp+MOmek7vuDMC0ct2lKj&#10;ZAJkqBKwRbZoCLEl5Nbv8HKKYYdZ70mjY9qa8J26XxwgTexUDD5PBqtTYpIu7+arZrloOJP0Nl+s&#10;loW9GmkyXcCYPihwLG86bo3P+kUrjh9jotQEvULytfVsoLzv62VdYBGs6R+NtfmxzJDaWmRHQd1P&#10;pyZLIYYXKDpZT5dZ4Cip7NLZqpH/i9LkDpU+invF2f+4clpPyByiKfsUdKkqD/OtkFvQBZvDVJnV&#10;vw2c0CUj+DQFOuMBRy9+z3qTr0f8VfWoNct+hv5cGlzsoIErbl0+R57ol+cSfvvCm18AAAD//wMA&#10;UEsDBBQABgAIAAAAIQCw+jYU3gAAAAkBAAAPAAAAZHJzL2Rvd25yZXYueG1sTI/BTsNADETvSPzD&#10;ykjc2k2jqi1pNhUgIQGihxY+wMm6SdSsN8pum/D3mBOcLHtG4zf5bnKdutIQWs8GFvMEFHHlbcu1&#10;ga/Pl9kGVIjIFjvPZOCbAuyK25scM+tHPtD1GGslIRwyNNDE2Gdah6ohh2Hue2LRTn5wGGUdam0H&#10;HCXcdTpNkpV22LJ8aLCn54aq8/HiDFRv+/X+7GkstfXx/dUePvCpMeb+bnrcgoo0xT8z/OILOhTC&#10;VPoL26A6A7PFailWEZYyxfCwTqVLKYdNCrrI9f8GxQ8AAAD//wMAUEsBAi0AFAAGAAgAAAAhALaD&#10;OJL+AAAA4QEAABMAAAAAAAAAAAAAAAAAAAAAAFtDb250ZW50X1R5cGVzXS54bWxQSwECLQAUAAYA&#10;CAAAACEAOP0h/9YAAACUAQAACwAAAAAAAAAAAAAAAAAvAQAAX3JlbHMvLnJlbHNQSwECLQAUAAYA&#10;CAAAACEA64kLpuEBAAAKBAAADgAAAAAAAAAAAAAAAAAuAgAAZHJzL2Uyb0RvYy54bWxQSwECLQAU&#10;AAYACAAAACEAsPo2FN4AAAAJAQAADwAAAAAAAAAAAAAAAAA7BAAAZHJzL2Rvd25yZXYueG1sUEsF&#10;BgAAAAAEAAQA8wAAAEYFAAAAAA==&#10;" strokecolor="black [3213]" strokeweight="1.5pt">
                <v:stroke joinstyle="miter"/>
              </v:line>
            </w:pict>
          </mc:Fallback>
        </mc:AlternateContent>
      </w:r>
    </w:p>
    <w:p w:rsidR="003E34D3" w:rsidRPr="001C0BF3" w:rsidRDefault="001C0BF3" w:rsidP="00891971">
      <w:pPr>
        <w:jc w:val="both"/>
        <w:rPr>
          <w:color w:val="231F20"/>
          <w:szCs w:val="24"/>
        </w:rPr>
      </w:pPr>
      <w:r>
        <w:rPr>
          <w:color w:val="231F20"/>
          <w:szCs w:val="24"/>
        </w:rPr>
        <w:t xml:space="preserve"> </w:t>
      </w:r>
      <w:r>
        <w:rPr>
          <w:color w:val="231F20"/>
          <w:szCs w:val="24"/>
        </w:rPr>
        <w:tab/>
      </w:r>
      <w:r>
        <w:rPr>
          <w:color w:val="231F20"/>
          <w:szCs w:val="24"/>
        </w:rPr>
        <w:tab/>
      </w:r>
      <w:r w:rsidR="003E34D3" w:rsidRPr="001C0BF3">
        <w:rPr>
          <w:color w:val="231F20"/>
          <w:szCs w:val="24"/>
        </w:rPr>
        <w:t xml:space="preserve">A questão da cultura do planejamento sucessório se demonstra pouco arraigada no país, o que já fez com que muitos patrimônios com dimensões significativas sejam particionados ou vendidos em processos de inventário no momento da sucessão. Considerando o fato de que alguns herdeiros não têm aptidão para o negócio da família ou condições de administrá-lo, ficando, naturalmente, a preocupação do patriarca com relação à perenidade do negócio e a segurança dos herdeiros. </w:t>
      </w:r>
    </w:p>
    <w:p w:rsidR="003E34D3" w:rsidRPr="001C0BF3" w:rsidRDefault="001C0BF3" w:rsidP="00891971">
      <w:pPr>
        <w:jc w:val="both"/>
        <w:rPr>
          <w:color w:val="231F20"/>
          <w:spacing w:val="-10"/>
          <w:szCs w:val="24"/>
        </w:rPr>
      </w:pPr>
      <w:r>
        <w:rPr>
          <w:color w:val="231F20"/>
          <w:szCs w:val="24"/>
        </w:rPr>
        <w:t xml:space="preserve"> </w:t>
      </w:r>
      <w:r>
        <w:rPr>
          <w:color w:val="231F20"/>
          <w:szCs w:val="24"/>
        </w:rPr>
        <w:tab/>
      </w:r>
      <w:r>
        <w:rPr>
          <w:color w:val="231F20"/>
          <w:szCs w:val="24"/>
        </w:rPr>
        <w:tab/>
      </w:r>
      <w:r w:rsidR="003E34D3" w:rsidRPr="001C0BF3">
        <w:rPr>
          <w:color w:val="231F20"/>
          <w:szCs w:val="24"/>
        </w:rPr>
        <w:t>Como solução para essa situação, os empresários podem contar com uma estratégia de gestão corporativa que permite uma administração profissional do negócio, uma sucessão familiar que garanta maior economia, e que dê condições plenas de continuidade da atividade da empresa, independentemente</w:t>
      </w:r>
      <w:r w:rsidR="003E34D3" w:rsidRPr="001C0BF3">
        <w:rPr>
          <w:color w:val="231F20"/>
          <w:spacing w:val="-7"/>
          <w:szCs w:val="24"/>
        </w:rPr>
        <w:t xml:space="preserve"> </w:t>
      </w:r>
      <w:r w:rsidR="003E34D3" w:rsidRPr="001C0BF3">
        <w:rPr>
          <w:color w:val="231F20"/>
          <w:szCs w:val="24"/>
        </w:rPr>
        <w:t>do</w:t>
      </w:r>
      <w:r w:rsidR="003E34D3" w:rsidRPr="001C0BF3">
        <w:rPr>
          <w:color w:val="231F20"/>
          <w:spacing w:val="-6"/>
          <w:szCs w:val="24"/>
        </w:rPr>
        <w:t xml:space="preserve"> </w:t>
      </w:r>
      <w:r w:rsidR="003E34D3" w:rsidRPr="001C0BF3">
        <w:rPr>
          <w:color w:val="231F20"/>
          <w:szCs w:val="24"/>
        </w:rPr>
        <w:t>falecimento</w:t>
      </w:r>
      <w:r w:rsidR="003E34D3" w:rsidRPr="001C0BF3">
        <w:rPr>
          <w:color w:val="231F20"/>
          <w:spacing w:val="-7"/>
          <w:szCs w:val="24"/>
        </w:rPr>
        <w:t xml:space="preserve"> </w:t>
      </w:r>
      <w:r w:rsidR="003E34D3" w:rsidRPr="001C0BF3">
        <w:rPr>
          <w:color w:val="231F20"/>
          <w:szCs w:val="24"/>
        </w:rPr>
        <w:t>do</w:t>
      </w:r>
      <w:r w:rsidR="003E34D3" w:rsidRPr="001C0BF3">
        <w:rPr>
          <w:color w:val="231F20"/>
          <w:spacing w:val="-5"/>
          <w:szCs w:val="24"/>
        </w:rPr>
        <w:t xml:space="preserve"> </w:t>
      </w:r>
      <w:r w:rsidR="003E34D3" w:rsidRPr="001C0BF3">
        <w:rPr>
          <w:color w:val="231F20"/>
          <w:szCs w:val="24"/>
        </w:rPr>
        <w:t>patriarca</w:t>
      </w:r>
      <w:r w:rsidR="003E34D3" w:rsidRPr="001C0BF3">
        <w:rPr>
          <w:color w:val="231F20"/>
          <w:spacing w:val="-7"/>
          <w:szCs w:val="24"/>
        </w:rPr>
        <w:t xml:space="preserve"> </w:t>
      </w:r>
      <w:r w:rsidR="003E34D3" w:rsidRPr="001C0BF3">
        <w:rPr>
          <w:color w:val="231F20"/>
          <w:szCs w:val="24"/>
        </w:rPr>
        <w:t>e</w:t>
      </w:r>
      <w:r w:rsidR="003E34D3" w:rsidRPr="001C0BF3">
        <w:rPr>
          <w:color w:val="231F20"/>
          <w:spacing w:val="-6"/>
          <w:szCs w:val="24"/>
        </w:rPr>
        <w:t xml:space="preserve"> </w:t>
      </w:r>
      <w:r w:rsidR="003E34D3" w:rsidRPr="001C0BF3">
        <w:rPr>
          <w:color w:val="231F20"/>
          <w:szCs w:val="24"/>
        </w:rPr>
        <w:t>dos</w:t>
      </w:r>
      <w:r w:rsidR="003E34D3" w:rsidRPr="001C0BF3">
        <w:rPr>
          <w:color w:val="231F20"/>
          <w:spacing w:val="-5"/>
          <w:szCs w:val="24"/>
        </w:rPr>
        <w:t xml:space="preserve"> </w:t>
      </w:r>
      <w:r w:rsidR="003E34D3" w:rsidRPr="001C0BF3">
        <w:rPr>
          <w:color w:val="231F20"/>
          <w:szCs w:val="24"/>
        </w:rPr>
        <w:t>interesses</w:t>
      </w:r>
      <w:r w:rsidR="003E34D3" w:rsidRPr="001C0BF3">
        <w:rPr>
          <w:color w:val="231F20"/>
          <w:spacing w:val="-6"/>
          <w:szCs w:val="24"/>
        </w:rPr>
        <w:t xml:space="preserve"> </w:t>
      </w:r>
      <w:r w:rsidR="003E34D3" w:rsidRPr="001C0BF3">
        <w:rPr>
          <w:color w:val="231F20"/>
          <w:szCs w:val="24"/>
        </w:rPr>
        <w:t>dos</w:t>
      </w:r>
      <w:r w:rsidR="003E34D3" w:rsidRPr="001C0BF3">
        <w:rPr>
          <w:color w:val="231F20"/>
          <w:spacing w:val="-6"/>
          <w:szCs w:val="24"/>
        </w:rPr>
        <w:t xml:space="preserve"> </w:t>
      </w:r>
      <w:r w:rsidR="003E34D3" w:rsidRPr="001C0BF3">
        <w:rPr>
          <w:color w:val="231F20"/>
          <w:szCs w:val="24"/>
        </w:rPr>
        <w:t>herdeiros.</w:t>
      </w:r>
      <w:r w:rsidR="003E34D3" w:rsidRPr="001C0BF3">
        <w:rPr>
          <w:color w:val="231F20"/>
          <w:spacing w:val="-10"/>
          <w:szCs w:val="24"/>
        </w:rPr>
        <w:t xml:space="preserve"> </w:t>
      </w:r>
    </w:p>
    <w:p w:rsidR="003E34D3" w:rsidRPr="001C0BF3" w:rsidRDefault="001C0BF3" w:rsidP="00891971">
      <w:pPr>
        <w:jc w:val="both"/>
        <w:rPr>
          <w:color w:val="231F20"/>
          <w:szCs w:val="24"/>
        </w:rPr>
      </w:pPr>
      <w:r>
        <w:rPr>
          <w:color w:val="231F20"/>
          <w:szCs w:val="24"/>
        </w:rPr>
        <w:t xml:space="preserve"> </w:t>
      </w:r>
      <w:r>
        <w:rPr>
          <w:color w:val="231F20"/>
          <w:szCs w:val="24"/>
        </w:rPr>
        <w:tab/>
      </w:r>
      <w:r>
        <w:rPr>
          <w:color w:val="231F20"/>
          <w:szCs w:val="24"/>
        </w:rPr>
        <w:tab/>
      </w:r>
      <w:r w:rsidR="003E34D3" w:rsidRPr="001C0BF3">
        <w:rPr>
          <w:color w:val="231F20"/>
          <w:szCs w:val="24"/>
        </w:rPr>
        <w:t>Trata-se</w:t>
      </w:r>
      <w:r w:rsidR="003E34D3" w:rsidRPr="001C0BF3">
        <w:rPr>
          <w:color w:val="231F20"/>
          <w:spacing w:val="-6"/>
          <w:szCs w:val="24"/>
        </w:rPr>
        <w:t xml:space="preserve"> </w:t>
      </w:r>
      <w:r w:rsidR="003E34D3" w:rsidRPr="001C0BF3">
        <w:rPr>
          <w:color w:val="231F20"/>
          <w:szCs w:val="24"/>
        </w:rPr>
        <w:t>da</w:t>
      </w:r>
      <w:r w:rsidR="003E34D3" w:rsidRPr="001C0BF3">
        <w:rPr>
          <w:color w:val="231F20"/>
          <w:spacing w:val="-6"/>
          <w:szCs w:val="24"/>
        </w:rPr>
        <w:t xml:space="preserve"> </w:t>
      </w:r>
      <w:r w:rsidR="003E34D3" w:rsidRPr="001C0BF3">
        <w:rPr>
          <w:color w:val="231F20"/>
          <w:szCs w:val="24"/>
        </w:rPr>
        <w:t>constituição</w:t>
      </w:r>
      <w:r w:rsidR="003E34D3" w:rsidRPr="001C0BF3">
        <w:rPr>
          <w:color w:val="231F20"/>
          <w:spacing w:val="-7"/>
          <w:szCs w:val="24"/>
        </w:rPr>
        <w:t xml:space="preserve"> </w:t>
      </w:r>
      <w:r w:rsidR="003E34D3" w:rsidRPr="001C0BF3">
        <w:rPr>
          <w:color w:val="231F20"/>
          <w:szCs w:val="24"/>
        </w:rPr>
        <w:t>de</w:t>
      </w:r>
      <w:r w:rsidR="003E34D3" w:rsidRPr="001C0BF3">
        <w:rPr>
          <w:color w:val="231F20"/>
          <w:spacing w:val="-5"/>
          <w:szCs w:val="24"/>
        </w:rPr>
        <w:t xml:space="preserve"> </w:t>
      </w:r>
      <w:r w:rsidR="003E34D3" w:rsidRPr="001C0BF3">
        <w:rPr>
          <w:color w:val="231F20"/>
          <w:szCs w:val="24"/>
        </w:rPr>
        <w:t>uma</w:t>
      </w:r>
      <w:r w:rsidR="003E34D3" w:rsidRPr="001C0BF3">
        <w:rPr>
          <w:color w:val="231F20"/>
          <w:spacing w:val="-8"/>
          <w:szCs w:val="24"/>
        </w:rPr>
        <w:t xml:space="preserve"> </w:t>
      </w:r>
      <w:r w:rsidR="003E34D3" w:rsidRPr="001C0BF3">
        <w:rPr>
          <w:b/>
          <w:i/>
          <w:color w:val="231F20"/>
          <w:szCs w:val="24"/>
        </w:rPr>
        <w:t>holding</w:t>
      </w:r>
      <w:r w:rsidR="003E34D3" w:rsidRPr="001C0BF3">
        <w:rPr>
          <w:i/>
          <w:color w:val="231F20"/>
          <w:spacing w:val="-6"/>
          <w:szCs w:val="24"/>
        </w:rPr>
        <w:t xml:space="preserve"> </w:t>
      </w:r>
      <w:r w:rsidR="003E34D3" w:rsidRPr="001C0BF3">
        <w:rPr>
          <w:color w:val="231F20"/>
          <w:szCs w:val="24"/>
        </w:rPr>
        <w:t>familiar,</w:t>
      </w:r>
      <w:r w:rsidR="003E34D3" w:rsidRPr="001C0BF3">
        <w:rPr>
          <w:color w:val="231F20"/>
          <w:spacing w:val="-5"/>
          <w:szCs w:val="24"/>
        </w:rPr>
        <w:t xml:space="preserve"> </w:t>
      </w:r>
      <w:r w:rsidR="003E34D3" w:rsidRPr="001C0BF3">
        <w:rPr>
          <w:color w:val="231F20"/>
          <w:szCs w:val="24"/>
        </w:rPr>
        <w:t>uma</w:t>
      </w:r>
      <w:r w:rsidR="003E34D3" w:rsidRPr="001C0BF3">
        <w:rPr>
          <w:color w:val="231F20"/>
          <w:spacing w:val="-7"/>
          <w:szCs w:val="24"/>
        </w:rPr>
        <w:t xml:space="preserve"> </w:t>
      </w:r>
      <w:r w:rsidR="003E34D3" w:rsidRPr="001C0BF3">
        <w:rPr>
          <w:color w:val="231F20"/>
          <w:szCs w:val="24"/>
        </w:rPr>
        <w:t xml:space="preserve">estratégia que permite a construção de estruturas societárias, que separem as áreas produtiva da patrimonial, protegendo, assim, o patrimônio comum dos negócios particulares dos herdeiros. </w:t>
      </w:r>
    </w:p>
    <w:p w:rsidR="003E34D3" w:rsidRPr="001C0BF3" w:rsidRDefault="001C0BF3" w:rsidP="00891971">
      <w:pPr>
        <w:jc w:val="both"/>
        <w:rPr>
          <w:color w:val="231F20"/>
          <w:szCs w:val="24"/>
        </w:rPr>
      </w:pPr>
      <w:r>
        <w:rPr>
          <w:color w:val="231F20"/>
          <w:szCs w:val="24"/>
        </w:rPr>
        <w:t xml:space="preserve"> </w:t>
      </w:r>
      <w:r>
        <w:rPr>
          <w:color w:val="231F20"/>
          <w:szCs w:val="24"/>
        </w:rPr>
        <w:tab/>
      </w:r>
      <w:r>
        <w:rPr>
          <w:color w:val="231F20"/>
          <w:szCs w:val="24"/>
        </w:rPr>
        <w:tab/>
      </w:r>
      <w:r w:rsidR="003E34D3" w:rsidRPr="001C0BF3">
        <w:rPr>
          <w:color w:val="231F20"/>
          <w:szCs w:val="24"/>
        </w:rPr>
        <w:t xml:space="preserve">A seguir analisaremos as especificidades da implantação de uma </w:t>
      </w:r>
      <w:r w:rsidR="003E34D3" w:rsidRPr="001C0BF3">
        <w:rPr>
          <w:i/>
          <w:color w:val="231F20"/>
          <w:szCs w:val="24"/>
        </w:rPr>
        <w:t xml:space="preserve">holding </w:t>
      </w:r>
      <w:r w:rsidR="003E34D3" w:rsidRPr="001C0BF3">
        <w:rPr>
          <w:color w:val="231F20"/>
          <w:szCs w:val="24"/>
        </w:rPr>
        <w:t>familiar em uma empresa, para tanto será feita a caracterização da constituição da empresa, e os reflexos societários e econômicos, sendo demonstrado ainda a melhor opção de regime</w:t>
      </w:r>
      <w:r w:rsidR="003E34D3" w:rsidRPr="001C0BF3">
        <w:rPr>
          <w:color w:val="231F20"/>
          <w:spacing w:val="-2"/>
          <w:szCs w:val="24"/>
        </w:rPr>
        <w:t xml:space="preserve"> </w:t>
      </w:r>
      <w:r w:rsidR="003E34D3" w:rsidRPr="001C0BF3">
        <w:rPr>
          <w:color w:val="231F20"/>
          <w:szCs w:val="24"/>
        </w:rPr>
        <w:t>tributário.</w:t>
      </w:r>
    </w:p>
    <w:p w:rsidR="003E34D3" w:rsidRDefault="00A30AB2" w:rsidP="00891971">
      <w:pPr>
        <w:jc w:val="both"/>
      </w:pPr>
      <w:r>
        <w:rPr>
          <w:noProof/>
          <w:lang w:val="pt-BR" w:eastAsia="pt-BR" w:bidi="ar-SA"/>
        </w:rPr>
        <mc:AlternateContent>
          <mc:Choice Requires="wps">
            <w:drawing>
              <wp:anchor distT="0" distB="0" distL="114300" distR="114300" simplePos="0" relativeHeight="251663360" behindDoc="0" locked="0" layoutInCell="1" allowOverlap="1" wp14:anchorId="499BCBD9" wp14:editId="78E814D4">
                <wp:simplePos x="0" y="0"/>
                <wp:positionH relativeFrom="column">
                  <wp:posOffset>-86360</wp:posOffset>
                </wp:positionH>
                <wp:positionV relativeFrom="paragraph">
                  <wp:posOffset>59278</wp:posOffset>
                </wp:positionV>
                <wp:extent cx="6281420" cy="23495"/>
                <wp:effectExtent l="0" t="0" r="24130" b="33655"/>
                <wp:wrapNone/>
                <wp:docPr id="1" name="Conector reto 1"/>
                <wp:cNvGraphicFramePr/>
                <a:graphic xmlns:a="http://schemas.openxmlformats.org/drawingml/2006/main">
                  <a:graphicData uri="http://schemas.microsoft.com/office/word/2010/wordprocessingShape">
                    <wps:wsp>
                      <wps:cNvCnPr/>
                      <wps:spPr>
                        <a:xfrm flipV="1">
                          <a:off x="0" y="0"/>
                          <a:ext cx="6281420" cy="23495"/>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A86F89" id="Conector reto 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8pt,4.65pt" to="487.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DT3wEAAAoEAAAOAAAAZHJzL2Uyb0RvYy54bWysU8Fu2zAMvQ/YPwi6L3a8tmiNOD2k6C7D&#10;Fmzd7qosxcIkUaC0OPn7UXLidN1lGHYRJPLxkY+kVvcHZ9leYTTgO75c1JwpL6E3ftfxb0+P7245&#10;i0n4XljwquNHFfn9+u2b1Rha1cAAtlfIiMTHdgwdH1IKbVVFOSgn4gKC8uTUgE4keuKu6lGMxO5s&#10;1dT1TTUC9gFBqhjJ+jA5+brwa61k+qx1VInZjlNtqZxYzud8VuuVaHcowmDkqQzxD1U4YTwlnake&#10;RBLsJ5o/qJyRCBF0WkhwFWhtpCoaSM2yfqXm6yCCKlqoOTHMbYr/j1Z+2m+RmZ5mx5kXjka0oUHJ&#10;BMhQJWDL3KIxxJaQG7/F0yuGLWa9B42OaWvC98yQLaSJHUqDj3OD1SExScab5nZ51dAcJPma91d3&#10;15m9mmhycMCYPihwLF86bo3P+kUr9h9jmqBnSDZbz0bKe1df1wUWwZr+0VibnWWH1MYi2wuafjoU&#10;KZTsBYpe1lMFWeAkqdzS0aqJ/4vS1B0qfRL3irP/cea0npA5RFP2OehUVV7mSyGXoBM2h6myq38b&#10;OKNLRvBpDnTGA069+D3rRb6e8GfVk9Ys+xn6YxlwaQctXBnN6XPkjX75LuGXL7z+BQAA//8DAFBL&#10;AwQUAAYACAAAACEAI+j5RtwAAAAIAQAADwAAAGRycy9kb3ducmV2LnhtbEyPQU7DMBBF90jcwRok&#10;dq1TIlqaxqkACQkQXbT0AJN4SKLG4yh2m3B7hhUsv/7Tnzf5dnKdutAQWs8GFvMEFHHlbcu1gePn&#10;y+wBVIjIFjvPZOCbAmyL66scM+tH3tPlEGslIxwyNNDE2Gdah6ohh2Hue2LpvvzgMEocam0HHGXc&#10;dfouSZbaYctyocGenhuqToezM1C97Va7k6ex1NbH91e7/8Cnxpjbm+lxAyrSFP9g+NUXdSjEqfRn&#10;tkF1BmaLdCmogXUKSvr16l5yKWCagC5y/f+B4gcAAP//AwBQSwECLQAUAAYACAAAACEAtoM4kv4A&#10;AADhAQAAEwAAAAAAAAAAAAAAAAAAAAAAW0NvbnRlbnRfVHlwZXNdLnhtbFBLAQItABQABgAIAAAA&#10;IQA4/SH/1gAAAJQBAAALAAAAAAAAAAAAAAAAAC8BAABfcmVscy8ucmVsc1BLAQItABQABgAIAAAA&#10;IQBbIxDT3wEAAAoEAAAOAAAAAAAAAAAAAAAAAC4CAABkcnMvZTJvRG9jLnhtbFBLAQItABQABgAI&#10;AAAAIQAj6PlG3AAAAAgBAAAPAAAAAAAAAAAAAAAAADkEAABkcnMvZG93bnJldi54bWxQSwUGAAAA&#10;AAQABADzAAAAQgUAAAAA&#10;" strokecolor="black [3213]" strokeweight="1.5pt">
                <v:stroke joinstyle="miter"/>
              </v:line>
            </w:pict>
          </mc:Fallback>
        </mc:AlternateContent>
      </w:r>
    </w:p>
    <w:p w:rsidR="00905072" w:rsidRDefault="001C0BF3" w:rsidP="00891971">
      <w:pPr>
        <w:jc w:val="center"/>
        <w:rPr>
          <w:rFonts w:ascii="Bookman Old Style" w:hAnsi="Bookman Old Style" w:cstheme="minorHAnsi"/>
          <w:b/>
          <w:color w:val="515151"/>
          <w:u w:val="single"/>
          <w:lang w:eastAsia="pt-BR"/>
        </w:rPr>
      </w:pPr>
      <w:r w:rsidRPr="00FD1D9E">
        <w:rPr>
          <w:rFonts w:ascii="Bookman Old Style" w:hAnsi="Bookman Old Style" w:cstheme="minorHAnsi"/>
          <w:b/>
          <w:color w:val="515151"/>
          <w:u w:val="single"/>
          <w:lang w:eastAsia="pt-BR"/>
        </w:rPr>
        <w:t>PROPOSTA IMPLANTAÇÃO HOLDING</w:t>
      </w:r>
      <w:r w:rsidR="0071126E">
        <w:rPr>
          <w:rFonts w:ascii="Bookman Old Style" w:hAnsi="Bookman Old Style" w:cstheme="minorHAnsi"/>
          <w:b/>
          <w:color w:val="515151"/>
          <w:u w:val="single"/>
          <w:lang w:eastAsia="pt-BR"/>
        </w:rPr>
        <w:t>:</w:t>
      </w:r>
    </w:p>
    <w:p w:rsidR="001C0BF3" w:rsidRDefault="001C0BF3" w:rsidP="00891971">
      <w:pPr>
        <w:shd w:val="clear" w:color="auto" w:fill="FFFFFF"/>
        <w:jc w:val="both"/>
        <w:textAlignment w:val="baseline"/>
        <w:rPr>
          <w:rFonts w:asciiTheme="minorHAnsi" w:hAnsiTheme="minorHAnsi" w:cstheme="minorHAnsi"/>
          <w:b/>
          <w:color w:val="515151"/>
          <w:lang w:eastAsia="pt-BR"/>
        </w:rPr>
      </w:pPr>
    </w:p>
    <w:tbl>
      <w:tblPr>
        <w:tblStyle w:val="Tabelacomgrade"/>
        <w:tblW w:w="9634" w:type="dxa"/>
        <w:jc w:val="center"/>
        <w:tblLook w:val="04A0" w:firstRow="1" w:lastRow="0" w:firstColumn="1" w:lastColumn="0" w:noHBand="0" w:noVBand="1"/>
      </w:tblPr>
      <w:tblGrid>
        <w:gridCol w:w="1980"/>
        <w:gridCol w:w="7654"/>
      </w:tblGrid>
      <w:tr w:rsidR="001C0BF3" w:rsidRPr="0071126E" w:rsidTr="00A30AB2">
        <w:trPr>
          <w:jc w:val="center"/>
        </w:trPr>
        <w:tc>
          <w:tcPr>
            <w:tcW w:w="1980" w:type="dxa"/>
          </w:tcPr>
          <w:p w:rsidR="001C0BF3" w:rsidRPr="0071126E" w:rsidRDefault="001C0BF3" w:rsidP="00891971">
            <w:pPr>
              <w:jc w:val="both"/>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515151"/>
                <w:sz w:val="20"/>
                <w:szCs w:val="20"/>
                <w:lang w:eastAsia="pt-BR"/>
              </w:rPr>
              <w:t>NOME DO CLIENTE</w:t>
            </w:r>
          </w:p>
        </w:tc>
        <w:tc>
          <w:tcPr>
            <w:tcW w:w="7654" w:type="dxa"/>
          </w:tcPr>
          <w:p w:rsidR="001C0BF3" w:rsidRPr="0071126E" w:rsidRDefault="001C0BF3" w:rsidP="00891971">
            <w:pPr>
              <w:jc w:val="both"/>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515151"/>
                <w:sz w:val="20"/>
                <w:szCs w:val="20"/>
                <w:lang w:eastAsia="pt-BR"/>
              </w:rPr>
              <w:t>ALEX VIEIRA PASSOS</w:t>
            </w:r>
          </w:p>
        </w:tc>
      </w:tr>
    </w:tbl>
    <w:p w:rsidR="001C0BF3" w:rsidRPr="0071126E" w:rsidRDefault="001C0BF3" w:rsidP="00891971">
      <w:pPr>
        <w:shd w:val="clear" w:color="auto" w:fill="FFFFFF"/>
        <w:jc w:val="both"/>
        <w:textAlignment w:val="baseline"/>
        <w:rPr>
          <w:rFonts w:asciiTheme="minorHAnsi" w:hAnsiTheme="minorHAnsi" w:cstheme="minorHAnsi"/>
          <w:b/>
          <w:color w:val="515151"/>
          <w:sz w:val="20"/>
          <w:szCs w:val="20"/>
          <w:lang w:eastAsia="pt-BR"/>
        </w:rPr>
      </w:pPr>
    </w:p>
    <w:tbl>
      <w:tblPr>
        <w:tblStyle w:val="Tabelacomgrade"/>
        <w:tblW w:w="9634" w:type="dxa"/>
        <w:tblLook w:val="04A0" w:firstRow="1" w:lastRow="0" w:firstColumn="1" w:lastColumn="0" w:noHBand="0" w:noVBand="1"/>
      </w:tblPr>
      <w:tblGrid>
        <w:gridCol w:w="4957"/>
        <w:gridCol w:w="4677"/>
      </w:tblGrid>
      <w:tr w:rsidR="001C0BF3" w:rsidRPr="0071126E" w:rsidTr="0071126E">
        <w:tc>
          <w:tcPr>
            <w:tcW w:w="4957" w:type="dxa"/>
          </w:tcPr>
          <w:p w:rsidR="001C0BF3" w:rsidRPr="0071126E" w:rsidRDefault="001C0BF3" w:rsidP="00891971">
            <w:pPr>
              <w:shd w:val="clear" w:color="auto" w:fill="FFFFFF"/>
              <w:jc w:val="both"/>
              <w:textAlignment w:val="baseline"/>
              <w:rPr>
                <w:rFonts w:asciiTheme="minorHAnsi" w:hAnsiTheme="minorHAnsi" w:cstheme="minorHAnsi"/>
                <w:b/>
                <w:color w:val="515151"/>
                <w:sz w:val="20"/>
                <w:szCs w:val="20"/>
                <w:u w:val="single"/>
                <w:lang w:eastAsia="pt-BR"/>
              </w:rPr>
            </w:pPr>
            <w:r w:rsidRPr="0071126E">
              <w:rPr>
                <w:rFonts w:asciiTheme="minorHAnsi" w:hAnsiTheme="minorHAnsi" w:cstheme="minorHAnsi"/>
                <w:b/>
                <w:color w:val="515151"/>
                <w:sz w:val="20"/>
                <w:szCs w:val="20"/>
                <w:u w:val="single"/>
                <w:lang w:eastAsia="pt-BR"/>
              </w:rPr>
              <w:t>EMPRESAS QUE CONSTITUIRÃO A HOLDING:</w:t>
            </w:r>
          </w:p>
          <w:p w:rsidR="001C0BF3" w:rsidRPr="0071126E" w:rsidRDefault="001C0BF3" w:rsidP="00891971">
            <w:pPr>
              <w:shd w:val="clear" w:color="auto" w:fill="FFFFFF"/>
              <w:rPr>
                <w:rFonts w:asciiTheme="minorHAnsi" w:hAnsiTheme="minorHAnsi" w:cstheme="minorHAnsi"/>
                <w:color w:val="000000"/>
                <w:sz w:val="20"/>
                <w:szCs w:val="20"/>
                <w:lang w:eastAsia="pt-BR"/>
              </w:rPr>
            </w:pPr>
          </w:p>
          <w:p w:rsidR="001C0BF3" w:rsidRPr="0071126E" w:rsidRDefault="001C0BF3" w:rsidP="00891971">
            <w:pPr>
              <w:shd w:val="clear" w:color="auto" w:fill="FFFFFF"/>
              <w:rPr>
                <w:rFonts w:asciiTheme="minorHAnsi" w:hAnsiTheme="minorHAnsi" w:cstheme="minorHAnsi"/>
                <w:b/>
                <w:color w:val="222222"/>
                <w:sz w:val="20"/>
                <w:szCs w:val="20"/>
                <w:lang w:eastAsia="pt-BR"/>
              </w:rPr>
            </w:pPr>
            <w:r w:rsidRPr="0071126E">
              <w:rPr>
                <w:rFonts w:asciiTheme="minorHAnsi" w:hAnsiTheme="minorHAnsi" w:cstheme="minorHAnsi"/>
                <w:b/>
                <w:color w:val="000000"/>
                <w:sz w:val="20"/>
                <w:szCs w:val="20"/>
                <w:lang w:eastAsia="pt-BR"/>
              </w:rPr>
              <w:t>CETEPS - MS</w:t>
            </w:r>
          </w:p>
          <w:p w:rsidR="001C0BF3" w:rsidRPr="0071126E" w:rsidRDefault="001C0BF3" w:rsidP="00891971">
            <w:pPr>
              <w:shd w:val="clear" w:color="auto" w:fill="FFFFFF"/>
              <w:rPr>
                <w:rFonts w:asciiTheme="minorHAnsi" w:hAnsiTheme="minorHAnsi" w:cstheme="minorHAnsi"/>
                <w:b/>
                <w:color w:val="222222"/>
                <w:sz w:val="20"/>
                <w:szCs w:val="20"/>
                <w:lang w:eastAsia="pt-BR"/>
              </w:rPr>
            </w:pPr>
            <w:r w:rsidRPr="0071126E">
              <w:rPr>
                <w:rFonts w:asciiTheme="minorHAnsi" w:hAnsiTheme="minorHAnsi" w:cstheme="minorHAnsi"/>
                <w:b/>
                <w:color w:val="000000"/>
                <w:sz w:val="20"/>
                <w:szCs w:val="20"/>
                <w:lang w:eastAsia="pt-BR"/>
              </w:rPr>
              <w:t>FAPRIME- MS</w:t>
            </w:r>
          </w:p>
          <w:p w:rsidR="001C0BF3" w:rsidRPr="0071126E" w:rsidRDefault="001C0BF3" w:rsidP="00891971">
            <w:pPr>
              <w:shd w:val="clear" w:color="auto" w:fill="FFFFFF"/>
              <w:rPr>
                <w:rFonts w:asciiTheme="minorHAnsi" w:hAnsiTheme="minorHAnsi" w:cstheme="minorHAnsi"/>
                <w:b/>
                <w:color w:val="222222"/>
                <w:sz w:val="20"/>
                <w:szCs w:val="20"/>
                <w:lang w:eastAsia="pt-BR"/>
              </w:rPr>
            </w:pPr>
            <w:r w:rsidRPr="0071126E">
              <w:rPr>
                <w:rFonts w:asciiTheme="minorHAnsi" w:hAnsiTheme="minorHAnsi" w:cstheme="minorHAnsi"/>
                <w:b/>
                <w:color w:val="000000"/>
                <w:sz w:val="20"/>
                <w:szCs w:val="20"/>
                <w:lang w:eastAsia="pt-BR"/>
              </w:rPr>
              <w:t>AB3 LOCADORA DE BENS E VEICULOS - Cuiabá - MT</w:t>
            </w:r>
          </w:p>
          <w:p w:rsidR="001C0BF3" w:rsidRPr="0071126E" w:rsidRDefault="001C0BF3" w:rsidP="00891971">
            <w:pPr>
              <w:shd w:val="clear" w:color="auto" w:fill="FFFFFF"/>
              <w:rPr>
                <w:rFonts w:asciiTheme="minorHAnsi" w:hAnsiTheme="minorHAnsi" w:cstheme="minorHAnsi"/>
                <w:b/>
                <w:color w:val="000000"/>
                <w:sz w:val="20"/>
                <w:szCs w:val="20"/>
                <w:lang w:eastAsia="pt-BR"/>
              </w:rPr>
            </w:pPr>
            <w:r w:rsidRPr="0071126E">
              <w:rPr>
                <w:rFonts w:asciiTheme="minorHAnsi" w:hAnsiTheme="minorHAnsi" w:cstheme="minorHAnsi"/>
                <w:b/>
                <w:color w:val="000000"/>
                <w:sz w:val="20"/>
                <w:szCs w:val="20"/>
                <w:lang w:eastAsia="pt-BR"/>
              </w:rPr>
              <w:t>SIMPLE MONEY - ESCRITÓRIO SIMPLIFICADO DE CREDITO - Cuiabá - MT</w:t>
            </w:r>
          </w:p>
          <w:p w:rsidR="001C0BF3" w:rsidRPr="0071126E" w:rsidRDefault="001C0BF3" w:rsidP="00891971">
            <w:pPr>
              <w:shd w:val="clear" w:color="auto" w:fill="FFFFFF"/>
              <w:rPr>
                <w:rFonts w:asciiTheme="minorHAnsi" w:hAnsiTheme="minorHAnsi" w:cstheme="minorHAnsi"/>
                <w:b/>
                <w:color w:val="515151"/>
                <w:sz w:val="20"/>
                <w:szCs w:val="20"/>
                <w:lang w:eastAsia="pt-BR"/>
              </w:rPr>
            </w:pPr>
          </w:p>
        </w:tc>
        <w:tc>
          <w:tcPr>
            <w:tcW w:w="4677" w:type="dxa"/>
          </w:tcPr>
          <w:p w:rsidR="001C0BF3" w:rsidRPr="0071126E" w:rsidRDefault="001C0BF3" w:rsidP="00891971">
            <w:pPr>
              <w:shd w:val="clear" w:color="auto" w:fill="FFFFFF"/>
              <w:rPr>
                <w:rFonts w:asciiTheme="minorHAnsi" w:hAnsiTheme="minorHAnsi" w:cstheme="minorHAnsi"/>
                <w:b/>
                <w:color w:val="222222"/>
                <w:sz w:val="20"/>
                <w:szCs w:val="20"/>
                <w:u w:val="single"/>
                <w:lang w:eastAsia="pt-BR"/>
              </w:rPr>
            </w:pPr>
            <w:r w:rsidRPr="0071126E">
              <w:rPr>
                <w:rFonts w:asciiTheme="minorHAnsi" w:hAnsiTheme="minorHAnsi" w:cstheme="minorHAnsi"/>
                <w:b/>
                <w:color w:val="000000"/>
                <w:sz w:val="20"/>
                <w:szCs w:val="20"/>
                <w:u w:val="single"/>
                <w:lang w:eastAsia="pt-BR"/>
              </w:rPr>
              <w:t>SÓCIOS QUE PARTICIPARÃO DA HOLDING:</w:t>
            </w:r>
          </w:p>
          <w:p w:rsidR="001C0BF3" w:rsidRPr="0071126E" w:rsidRDefault="001C0BF3" w:rsidP="00891971">
            <w:pPr>
              <w:shd w:val="clear" w:color="auto" w:fill="FFFFFF"/>
              <w:rPr>
                <w:rFonts w:asciiTheme="minorHAnsi" w:hAnsiTheme="minorHAnsi" w:cstheme="minorHAnsi"/>
                <w:color w:val="222222"/>
                <w:sz w:val="20"/>
                <w:szCs w:val="20"/>
                <w:lang w:eastAsia="pt-BR"/>
              </w:rPr>
            </w:pPr>
            <w:r w:rsidRPr="0071126E">
              <w:rPr>
                <w:rFonts w:asciiTheme="minorHAnsi" w:hAnsiTheme="minorHAnsi" w:cstheme="minorHAnsi"/>
                <w:color w:val="000000"/>
                <w:sz w:val="20"/>
                <w:szCs w:val="20"/>
                <w:lang w:eastAsia="pt-BR"/>
              </w:rPr>
              <w:t> </w:t>
            </w:r>
          </w:p>
          <w:p w:rsidR="001C0BF3" w:rsidRPr="0071126E" w:rsidRDefault="001C0BF3" w:rsidP="00891971">
            <w:pPr>
              <w:shd w:val="clear" w:color="auto" w:fill="FFFFFF"/>
              <w:rPr>
                <w:rFonts w:asciiTheme="minorHAnsi" w:hAnsiTheme="minorHAnsi" w:cstheme="minorHAnsi"/>
                <w:b/>
                <w:color w:val="222222"/>
                <w:sz w:val="20"/>
                <w:szCs w:val="20"/>
                <w:lang w:eastAsia="pt-BR"/>
              </w:rPr>
            </w:pPr>
            <w:r w:rsidRPr="0071126E">
              <w:rPr>
                <w:rFonts w:asciiTheme="minorHAnsi" w:hAnsiTheme="minorHAnsi" w:cstheme="minorHAnsi"/>
                <w:b/>
                <w:color w:val="000000"/>
                <w:sz w:val="20"/>
                <w:szCs w:val="20"/>
                <w:lang w:eastAsia="pt-BR"/>
              </w:rPr>
              <w:t>ALEX VIEIRA PASSOS</w:t>
            </w:r>
          </w:p>
          <w:p w:rsidR="001C0BF3" w:rsidRPr="0071126E" w:rsidRDefault="001C0BF3" w:rsidP="00891971">
            <w:pPr>
              <w:shd w:val="clear" w:color="auto" w:fill="FFFFFF"/>
              <w:rPr>
                <w:rFonts w:asciiTheme="minorHAnsi" w:hAnsiTheme="minorHAnsi" w:cstheme="minorHAnsi"/>
                <w:b/>
                <w:color w:val="222222"/>
                <w:sz w:val="20"/>
                <w:szCs w:val="20"/>
                <w:lang w:eastAsia="pt-BR"/>
              </w:rPr>
            </w:pPr>
            <w:r w:rsidRPr="0071126E">
              <w:rPr>
                <w:rFonts w:asciiTheme="minorHAnsi" w:hAnsiTheme="minorHAnsi" w:cstheme="minorHAnsi"/>
                <w:b/>
                <w:color w:val="000000"/>
                <w:sz w:val="20"/>
                <w:szCs w:val="20"/>
                <w:lang w:eastAsia="pt-BR"/>
              </w:rPr>
              <w:t xml:space="preserve">KATIUSCIA SUMAYA CORREA MIRADA </w:t>
            </w:r>
          </w:p>
          <w:p w:rsidR="001C0BF3" w:rsidRPr="0071126E" w:rsidRDefault="001C0BF3" w:rsidP="00891971">
            <w:pPr>
              <w:shd w:val="clear" w:color="auto" w:fill="FFFFFF"/>
              <w:rPr>
                <w:rFonts w:asciiTheme="minorHAnsi" w:hAnsiTheme="minorHAnsi" w:cstheme="minorHAnsi"/>
                <w:b/>
                <w:color w:val="222222"/>
                <w:sz w:val="20"/>
                <w:szCs w:val="20"/>
                <w:lang w:eastAsia="pt-BR"/>
              </w:rPr>
            </w:pPr>
            <w:r w:rsidRPr="0071126E">
              <w:rPr>
                <w:rFonts w:asciiTheme="minorHAnsi" w:hAnsiTheme="minorHAnsi" w:cstheme="minorHAnsi"/>
                <w:b/>
                <w:color w:val="000000"/>
                <w:sz w:val="20"/>
                <w:szCs w:val="20"/>
                <w:lang w:eastAsia="pt-BR"/>
              </w:rPr>
              <w:t xml:space="preserve">HERALDO VIEIRA PASSOS JR </w:t>
            </w:r>
          </w:p>
          <w:p w:rsidR="001C0BF3" w:rsidRPr="0071126E" w:rsidRDefault="001C0BF3" w:rsidP="00891971">
            <w:pPr>
              <w:shd w:val="clear" w:color="auto" w:fill="FFFFFF"/>
              <w:rPr>
                <w:rFonts w:asciiTheme="minorHAnsi" w:hAnsiTheme="minorHAnsi" w:cstheme="minorHAnsi"/>
                <w:b/>
                <w:color w:val="515151"/>
                <w:sz w:val="20"/>
                <w:szCs w:val="20"/>
                <w:u w:val="single"/>
                <w:lang w:eastAsia="pt-BR"/>
              </w:rPr>
            </w:pPr>
            <w:r w:rsidRPr="0071126E">
              <w:rPr>
                <w:rFonts w:asciiTheme="minorHAnsi" w:hAnsiTheme="minorHAnsi" w:cstheme="minorHAnsi"/>
                <w:b/>
                <w:color w:val="000000"/>
                <w:sz w:val="20"/>
                <w:szCs w:val="20"/>
                <w:lang w:eastAsia="pt-BR"/>
              </w:rPr>
              <w:t>IRAMARA AVANSINE GODOY</w:t>
            </w:r>
          </w:p>
        </w:tc>
      </w:tr>
    </w:tbl>
    <w:p w:rsidR="001C0BF3" w:rsidRPr="0071126E" w:rsidRDefault="0071126E" w:rsidP="00891971">
      <w:pPr>
        <w:shd w:val="clear" w:color="auto" w:fill="FFFFFF"/>
        <w:jc w:val="center"/>
        <w:textAlignment w:val="baseline"/>
        <w:rPr>
          <w:rFonts w:asciiTheme="minorHAnsi" w:hAnsiTheme="minorHAnsi" w:cstheme="minorHAnsi"/>
          <w:b/>
          <w:color w:val="515151"/>
          <w:sz w:val="20"/>
          <w:szCs w:val="20"/>
          <w:lang w:eastAsia="pt-BR"/>
        </w:rPr>
      </w:pPr>
      <w:r>
        <w:rPr>
          <w:rFonts w:asciiTheme="minorHAnsi" w:hAnsiTheme="minorHAnsi" w:cstheme="minorHAnsi"/>
          <w:b/>
          <w:color w:val="515151"/>
          <w:sz w:val="20"/>
          <w:szCs w:val="20"/>
          <w:lang w:eastAsia="pt-BR"/>
        </w:rPr>
        <w:t>INFORMAÇÕES A CONSIDERAR</w:t>
      </w:r>
    </w:p>
    <w:tbl>
      <w:tblPr>
        <w:tblStyle w:val="Tabelacomgrade"/>
        <w:tblW w:w="0" w:type="auto"/>
        <w:tblLook w:val="04A0" w:firstRow="1" w:lastRow="0" w:firstColumn="1" w:lastColumn="0" w:noHBand="0" w:noVBand="1"/>
      </w:tblPr>
      <w:tblGrid>
        <w:gridCol w:w="3765"/>
        <w:gridCol w:w="1413"/>
        <w:gridCol w:w="4450"/>
      </w:tblGrid>
      <w:tr w:rsidR="00712C88" w:rsidRPr="0071126E" w:rsidTr="00F010BE">
        <w:tc>
          <w:tcPr>
            <w:tcW w:w="3823" w:type="dxa"/>
          </w:tcPr>
          <w:p w:rsidR="001C0BF3" w:rsidRPr="0071126E" w:rsidRDefault="001C0BF3" w:rsidP="00891971">
            <w:pPr>
              <w:jc w:val="both"/>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515151"/>
                <w:sz w:val="20"/>
                <w:szCs w:val="20"/>
                <w:lang w:eastAsia="pt-BR"/>
              </w:rPr>
              <w:t>DESCRIÇÃO</w:t>
            </w:r>
          </w:p>
        </w:tc>
        <w:tc>
          <w:tcPr>
            <w:tcW w:w="1417" w:type="dxa"/>
          </w:tcPr>
          <w:p w:rsidR="001C0BF3" w:rsidRPr="0071126E" w:rsidRDefault="001C0BF3" w:rsidP="00891971">
            <w:pPr>
              <w:jc w:val="center"/>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515151"/>
                <w:sz w:val="20"/>
                <w:szCs w:val="20"/>
                <w:lang w:eastAsia="pt-BR"/>
              </w:rPr>
              <w:t>VALOR</w:t>
            </w:r>
          </w:p>
        </w:tc>
        <w:tc>
          <w:tcPr>
            <w:tcW w:w="4536" w:type="dxa"/>
          </w:tcPr>
          <w:p w:rsidR="001C0BF3" w:rsidRPr="0071126E" w:rsidRDefault="001C0BF3" w:rsidP="00891971">
            <w:pPr>
              <w:jc w:val="both"/>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515151"/>
                <w:sz w:val="20"/>
                <w:szCs w:val="20"/>
                <w:lang w:eastAsia="pt-BR"/>
              </w:rPr>
              <w:t>Observação</w:t>
            </w:r>
          </w:p>
        </w:tc>
      </w:tr>
      <w:tr w:rsidR="00712C88" w:rsidRPr="0071126E" w:rsidTr="00F010BE">
        <w:tc>
          <w:tcPr>
            <w:tcW w:w="3823" w:type="dxa"/>
          </w:tcPr>
          <w:p w:rsidR="001C0BF3" w:rsidRPr="0071126E" w:rsidRDefault="001C0BF3" w:rsidP="00891971">
            <w:pPr>
              <w:jc w:val="both"/>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515151"/>
                <w:sz w:val="20"/>
                <w:szCs w:val="20"/>
                <w:lang w:eastAsia="pt-BR"/>
              </w:rPr>
              <w:t>INTEGRALIZAÇÃO DO CAPITAL SOCIAL PELA HOLDING</w:t>
            </w:r>
          </w:p>
        </w:tc>
        <w:tc>
          <w:tcPr>
            <w:tcW w:w="1417" w:type="dxa"/>
          </w:tcPr>
          <w:p w:rsidR="001C0BF3" w:rsidRPr="0071126E" w:rsidRDefault="001C0BF3" w:rsidP="00891971">
            <w:pPr>
              <w:jc w:val="center"/>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515151"/>
                <w:sz w:val="20"/>
                <w:szCs w:val="20"/>
                <w:lang w:eastAsia="pt-BR"/>
              </w:rPr>
              <w:t>8.110.000,00</w:t>
            </w:r>
          </w:p>
        </w:tc>
        <w:tc>
          <w:tcPr>
            <w:tcW w:w="4536" w:type="dxa"/>
          </w:tcPr>
          <w:p w:rsidR="001C0BF3" w:rsidRPr="0071126E" w:rsidRDefault="001C0BF3" w:rsidP="00891971">
            <w:pPr>
              <w:jc w:val="both"/>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515151"/>
                <w:sz w:val="20"/>
                <w:szCs w:val="20"/>
                <w:lang w:eastAsia="pt-BR"/>
              </w:rPr>
              <w:t>-</w:t>
            </w:r>
          </w:p>
        </w:tc>
      </w:tr>
      <w:tr w:rsidR="00712C88" w:rsidRPr="0071126E" w:rsidTr="00F010BE">
        <w:tc>
          <w:tcPr>
            <w:tcW w:w="3823" w:type="dxa"/>
          </w:tcPr>
          <w:p w:rsidR="001C0BF3" w:rsidRPr="0071126E" w:rsidRDefault="001C0BF3" w:rsidP="00891971">
            <w:pPr>
              <w:jc w:val="both"/>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515151"/>
                <w:sz w:val="20"/>
                <w:szCs w:val="20"/>
                <w:lang w:eastAsia="pt-BR"/>
              </w:rPr>
              <w:t>DESPESAS COM CARTÓRIO/JUNTA</w:t>
            </w:r>
          </w:p>
        </w:tc>
        <w:tc>
          <w:tcPr>
            <w:tcW w:w="1417" w:type="dxa"/>
          </w:tcPr>
          <w:p w:rsidR="001C0BF3" w:rsidRPr="0071126E" w:rsidRDefault="001C0BF3" w:rsidP="00891971">
            <w:pPr>
              <w:jc w:val="center"/>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515151"/>
                <w:sz w:val="20"/>
                <w:szCs w:val="20"/>
                <w:lang w:eastAsia="pt-BR"/>
              </w:rPr>
              <w:t>0,00</w:t>
            </w:r>
          </w:p>
        </w:tc>
        <w:tc>
          <w:tcPr>
            <w:tcW w:w="4536" w:type="dxa"/>
          </w:tcPr>
          <w:p w:rsidR="001C0BF3" w:rsidRPr="0071126E" w:rsidRDefault="001C0BF3" w:rsidP="00891971">
            <w:pPr>
              <w:jc w:val="both"/>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515151"/>
                <w:sz w:val="20"/>
                <w:szCs w:val="20"/>
                <w:lang w:eastAsia="pt-BR"/>
              </w:rPr>
              <w:t>ESCRITURA PÚBLICA E JUNTA COMERCIAL</w:t>
            </w:r>
          </w:p>
        </w:tc>
      </w:tr>
      <w:tr w:rsidR="00712C88" w:rsidRPr="0071126E" w:rsidTr="00F010BE">
        <w:tc>
          <w:tcPr>
            <w:tcW w:w="3823" w:type="dxa"/>
          </w:tcPr>
          <w:p w:rsidR="001C0BF3" w:rsidRPr="0071126E" w:rsidRDefault="001C0BF3" w:rsidP="00891971">
            <w:pPr>
              <w:jc w:val="both"/>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515151"/>
                <w:sz w:val="20"/>
                <w:szCs w:val="20"/>
                <w:lang w:eastAsia="pt-BR"/>
              </w:rPr>
              <w:t>ANUÊNCIA DO CÔNJUGE PARA A INTEGRALIZAÇÃO DO CAPITAL SOCIAL E NA DOAÇÃO DE QUOTAS</w:t>
            </w:r>
          </w:p>
        </w:tc>
        <w:tc>
          <w:tcPr>
            <w:tcW w:w="1417" w:type="dxa"/>
          </w:tcPr>
          <w:p w:rsidR="001C0BF3" w:rsidRPr="0071126E" w:rsidRDefault="001C0BF3" w:rsidP="00891971">
            <w:pPr>
              <w:jc w:val="center"/>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515151"/>
                <w:sz w:val="20"/>
                <w:szCs w:val="20"/>
                <w:lang w:eastAsia="pt-BR"/>
              </w:rPr>
              <w:t>-</w:t>
            </w:r>
          </w:p>
        </w:tc>
        <w:tc>
          <w:tcPr>
            <w:tcW w:w="4536" w:type="dxa"/>
          </w:tcPr>
          <w:p w:rsidR="001C0BF3" w:rsidRPr="0071126E" w:rsidRDefault="001C0BF3" w:rsidP="00891971">
            <w:pPr>
              <w:jc w:val="both"/>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515151"/>
                <w:sz w:val="20"/>
                <w:szCs w:val="20"/>
                <w:lang w:eastAsia="pt-BR"/>
              </w:rPr>
              <w:t>OBRIGATÓRIO, SALVO REGIME SEPARAÇÃO TOTAL DE BENS.</w:t>
            </w:r>
          </w:p>
        </w:tc>
      </w:tr>
      <w:tr w:rsidR="00712C88" w:rsidRPr="0071126E" w:rsidTr="00F010BE">
        <w:tc>
          <w:tcPr>
            <w:tcW w:w="3823" w:type="dxa"/>
          </w:tcPr>
          <w:p w:rsidR="001C0BF3" w:rsidRPr="0071126E" w:rsidRDefault="001C0BF3" w:rsidP="00891971">
            <w:pPr>
              <w:jc w:val="both"/>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515151"/>
                <w:sz w:val="20"/>
                <w:szCs w:val="20"/>
                <w:lang w:eastAsia="pt-BR"/>
              </w:rPr>
              <w:t>REGIME DE TRIBUTAÇÃO</w:t>
            </w:r>
          </w:p>
        </w:tc>
        <w:tc>
          <w:tcPr>
            <w:tcW w:w="1417" w:type="dxa"/>
          </w:tcPr>
          <w:p w:rsidR="001C0BF3" w:rsidRPr="0071126E" w:rsidRDefault="001C0BF3" w:rsidP="00891971">
            <w:pPr>
              <w:jc w:val="center"/>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515151"/>
                <w:sz w:val="20"/>
                <w:szCs w:val="20"/>
                <w:lang w:eastAsia="pt-BR"/>
              </w:rPr>
              <w:t>-</w:t>
            </w:r>
          </w:p>
        </w:tc>
        <w:tc>
          <w:tcPr>
            <w:tcW w:w="4536" w:type="dxa"/>
          </w:tcPr>
          <w:p w:rsidR="001C0BF3" w:rsidRPr="0071126E" w:rsidRDefault="001C0BF3" w:rsidP="00891971">
            <w:pPr>
              <w:jc w:val="both"/>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515151"/>
                <w:sz w:val="20"/>
                <w:szCs w:val="20"/>
                <w:lang w:eastAsia="pt-BR"/>
              </w:rPr>
              <w:t>APLICÁVEL SOMENTE PARA LUCRO PRESSUMIDO OU REAL</w:t>
            </w:r>
          </w:p>
        </w:tc>
      </w:tr>
    </w:tbl>
    <w:p w:rsidR="001C0BF3" w:rsidRPr="0071126E" w:rsidRDefault="0071126E" w:rsidP="00891971">
      <w:pPr>
        <w:shd w:val="clear" w:color="auto" w:fill="FFFFFF"/>
        <w:jc w:val="center"/>
        <w:textAlignment w:val="baseline"/>
        <w:rPr>
          <w:rFonts w:asciiTheme="minorHAnsi" w:hAnsiTheme="minorHAnsi" w:cstheme="minorHAnsi"/>
          <w:b/>
          <w:color w:val="515151"/>
          <w:sz w:val="20"/>
          <w:szCs w:val="20"/>
          <w:lang w:eastAsia="pt-BR"/>
        </w:rPr>
      </w:pPr>
      <w:r>
        <w:rPr>
          <w:rFonts w:asciiTheme="minorHAnsi" w:hAnsiTheme="minorHAnsi" w:cstheme="minorHAnsi"/>
          <w:b/>
          <w:color w:val="515151"/>
          <w:sz w:val="20"/>
          <w:szCs w:val="20"/>
          <w:lang w:eastAsia="pt-BR"/>
        </w:rPr>
        <w:t>RELAÇÃO DOS BENS</w:t>
      </w:r>
    </w:p>
    <w:tbl>
      <w:tblPr>
        <w:tblStyle w:val="Tabelacomgrade"/>
        <w:tblW w:w="0" w:type="auto"/>
        <w:tblLook w:val="04A0" w:firstRow="1" w:lastRow="0" w:firstColumn="1" w:lastColumn="0" w:noHBand="0" w:noVBand="1"/>
      </w:tblPr>
      <w:tblGrid>
        <w:gridCol w:w="7104"/>
        <w:gridCol w:w="2524"/>
      </w:tblGrid>
      <w:tr w:rsidR="00712C88" w:rsidRPr="0071126E" w:rsidTr="00827F95">
        <w:tc>
          <w:tcPr>
            <w:tcW w:w="7104" w:type="dxa"/>
          </w:tcPr>
          <w:p w:rsidR="001C0BF3" w:rsidRPr="0071126E" w:rsidRDefault="0071126E" w:rsidP="00891971">
            <w:pPr>
              <w:jc w:val="both"/>
              <w:textAlignment w:val="baseline"/>
              <w:rPr>
                <w:rFonts w:asciiTheme="minorHAnsi" w:hAnsiTheme="minorHAnsi" w:cstheme="minorHAnsi"/>
                <w:b/>
                <w:color w:val="515151"/>
                <w:sz w:val="20"/>
                <w:szCs w:val="20"/>
                <w:lang w:eastAsia="pt-BR"/>
              </w:rPr>
            </w:pPr>
            <w:r>
              <w:rPr>
                <w:rFonts w:asciiTheme="minorHAnsi" w:hAnsiTheme="minorHAnsi" w:cstheme="minorHAnsi"/>
                <w:b/>
                <w:color w:val="515151"/>
                <w:sz w:val="20"/>
                <w:szCs w:val="20"/>
                <w:lang w:eastAsia="pt-BR"/>
              </w:rPr>
              <w:t>DESCRIÇÃO</w:t>
            </w:r>
          </w:p>
        </w:tc>
        <w:tc>
          <w:tcPr>
            <w:tcW w:w="2524" w:type="dxa"/>
          </w:tcPr>
          <w:p w:rsidR="001C0BF3" w:rsidRPr="0071126E" w:rsidRDefault="001C0BF3" w:rsidP="00891971">
            <w:pPr>
              <w:jc w:val="center"/>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515151"/>
                <w:sz w:val="20"/>
                <w:szCs w:val="20"/>
                <w:lang w:eastAsia="pt-BR"/>
              </w:rPr>
              <w:t>VALOR</w:t>
            </w:r>
          </w:p>
        </w:tc>
      </w:tr>
      <w:tr w:rsidR="00712C88" w:rsidRPr="0071126E" w:rsidTr="00827F95">
        <w:tc>
          <w:tcPr>
            <w:tcW w:w="7104" w:type="dxa"/>
          </w:tcPr>
          <w:p w:rsidR="001C0BF3" w:rsidRPr="0071126E" w:rsidRDefault="001C0BF3" w:rsidP="00891971">
            <w:pPr>
              <w:shd w:val="clear" w:color="auto" w:fill="FFFFFF"/>
              <w:jc w:val="both"/>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515151"/>
                <w:sz w:val="20"/>
                <w:szCs w:val="20"/>
                <w:lang w:eastAsia="pt-BR"/>
              </w:rPr>
              <w:t>- IMÓVEL 01 - 01 APTO EM CUIABÁ</w:t>
            </w:r>
          </w:p>
        </w:tc>
        <w:tc>
          <w:tcPr>
            <w:tcW w:w="2524" w:type="dxa"/>
          </w:tcPr>
          <w:p w:rsidR="001C0BF3" w:rsidRPr="0071126E" w:rsidRDefault="001C0BF3" w:rsidP="00891971">
            <w:pPr>
              <w:jc w:val="right"/>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515151"/>
                <w:sz w:val="20"/>
                <w:szCs w:val="20"/>
                <w:lang w:eastAsia="pt-BR"/>
              </w:rPr>
              <w:t>500.000,00</w:t>
            </w:r>
          </w:p>
        </w:tc>
      </w:tr>
      <w:tr w:rsidR="00712C88" w:rsidRPr="0071126E" w:rsidTr="00827F95">
        <w:tc>
          <w:tcPr>
            <w:tcW w:w="7104" w:type="dxa"/>
          </w:tcPr>
          <w:p w:rsidR="001C0BF3" w:rsidRPr="0071126E" w:rsidRDefault="001C0BF3" w:rsidP="00891971">
            <w:pPr>
              <w:shd w:val="clear" w:color="auto" w:fill="FFFFFF"/>
              <w:rPr>
                <w:rFonts w:asciiTheme="minorHAnsi" w:hAnsiTheme="minorHAnsi" w:cstheme="minorHAnsi"/>
                <w:b/>
                <w:color w:val="222222"/>
                <w:sz w:val="20"/>
                <w:szCs w:val="20"/>
                <w:lang w:eastAsia="pt-BR"/>
              </w:rPr>
            </w:pPr>
            <w:r w:rsidRPr="0071126E">
              <w:rPr>
                <w:rFonts w:asciiTheme="minorHAnsi" w:hAnsiTheme="minorHAnsi" w:cstheme="minorHAnsi"/>
                <w:b/>
                <w:color w:val="000000"/>
                <w:sz w:val="20"/>
                <w:szCs w:val="20"/>
                <w:lang w:eastAsia="pt-BR"/>
              </w:rPr>
              <w:t>- IMÓVEL 02 - 01 APTO EM CUIABÁ</w:t>
            </w:r>
          </w:p>
        </w:tc>
        <w:tc>
          <w:tcPr>
            <w:tcW w:w="2524" w:type="dxa"/>
          </w:tcPr>
          <w:p w:rsidR="001C0BF3" w:rsidRPr="0071126E" w:rsidRDefault="001C0BF3" w:rsidP="00891971">
            <w:pPr>
              <w:jc w:val="right"/>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515151"/>
                <w:sz w:val="20"/>
                <w:szCs w:val="20"/>
                <w:lang w:eastAsia="pt-BR"/>
              </w:rPr>
              <w:t>200.000,00</w:t>
            </w:r>
          </w:p>
        </w:tc>
      </w:tr>
      <w:tr w:rsidR="00712C88" w:rsidRPr="0071126E" w:rsidTr="00827F95">
        <w:tc>
          <w:tcPr>
            <w:tcW w:w="7104" w:type="dxa"/>
          </w:tcPr>
          <w:p w:rsidR="001C0BF3" w:rsidRPr="0071126E" w:rsidRDefault="001C0BF3" w:rsidP="00891971">
            <w:pPr>
              <w:shd w:val="clear" w:color="auto" w:fill="FFFFFF"/>
              <w:rPr>
                <w:rFonts w:asciiTheme="minorHAnsi" w:hAnsiTheme="minorHAnsi" w:cstheme="minorHAnsi"/>
                <w:b/>
                <w:color w:val="222222"/>
                <w:sz w:val="20"/>
                <w:szCs w:val="20"/>
                <w:lang w:eastAsia="pt-BR"/>
              </w:rPr>
            </w:pPr>
            <w:r w:rsidRPr="0071126E">
              <w:rPr>
                <w:rFonts w:asciiTheme="minorHAnsi" w:hAnsiTheme="minorHAnsi" w:cstheme="minorHAnsi"/>
                <w:b/>
                <w:color w:val="000000"/>
                <w:sz w:val="20"/>
                <w:szCs w:val="20"/>
                <w:lang w:eastAsia="pt-BR"/>
              </w:rPr>
              <w:t>- IMÓVEL 03 - 01 APTO EM CUIABÁ</w:t>
            </w:r>
          </w:p>
        </w:tc>
        <w:tc>
          <w:tcPr>
            <w:tcW w:w="2524" w:type="dxa"/>
          </w:tcPr>
          <w:p w:rsidR="001C0BF3" w:rsidRPr="0071126E" w:rsidRDefault="001C0BF3" w:rsidP="00891971">
            <w:pPr>
              <w:jc w:val="right"/>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515151"/>
                <w:sz w:val="20"/>
                <w:szCs w:val="20"/>
                <w:lang w:eastAsia="pt-BR"/>
              </w:rPr>
              <w:t>10.000,00</w:t>
            </w:r>
          </w:p>
        </w:tc>
      </w:tr>
      <w:tr w:rsidR="00712C88" w:rsidRPr="0071126E" w:rsidTr="00827F95">
        <w:tc>
          <w:tcPr>
            <w:tcW w:w="7104" w:type="dxa"/>
          </w:tcPr>
          <w:p w:rsidR="001C0BF3" w:rsidRPr="0071126E" w:rsidRDefault="001C0BF3" w:rsidP="00891971">
            <w:pPr>
              <w:shd w:val="clear" w:color="auto" w:fill="FFFFFF"/>
              <w:jc w:val="both"/>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000000"/>
                <w:sz w:val="20"/>
                <w:szCs w:val="20"/>
                <w:lang w:eastAsia="pt-BR"/>
              </w:rPr>
              <w:t>- IMÓVEL 04 – 01 CASA</w:t>
            </w:r>
          </w:p>
        </w:tc>
        <w:tc>
          <w:tcPr>
            <w:tcW w:w="2524" w:type="dxa"/>
          </w:tcPr>
          <w:p w:rsidR="001C0BF3" w:rsidRPr="0071126E" w:rsidRDefault="001C0BF3" w:rsidP="00891971">
            <w:pPr>
              <w:jc w:val="right"/>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515151"/>
                <w:sz w:val="20"/>
                <w:szCs w:val="20"/>
                <w:lang w:eastAsia="pt-BR"/>
              </w:rPr>
              <w:t>1.500,000,00</w:t>
            </w:r>
          </w:p>
        </w:tc>
      </w:tr>
      <w:tr w:rsidR="00712C88" w:rsidRPr="0071126E" w:rsidTr="00827F95">
        <w:tc>
          <w:tcPr>
            <w:tcW w:w="7104" w:type="dxa"/>
          </w:tcPr>
          <w:p w:rsidR="001C0BF3" w:rsidRPr="0071126E" w:rsidRDefault="001C0BF3" w:rsidP="00891971">
            <w:pPr>
              <w:shd w:val="clear" w:color="auto" w:fill="FFFFFF"/>
              <w:rPr>
                <w:rFonts w:asciiTheme="minorHAnsi" w:hAnsiTheme="minorHAnsi" w:cstheme="minorHAnsi"/>
                <w:color w:val="222222"/>
                <w:sz w:val="20"/>
                <w:szCs w:val="20"/>
                <w:lang w:eastAsia="pt-BR"/>
              </w:rPr>
            </w:pPr>
            <w:r w:rsidRPr="0071126E">
              <w:rPr>
                <w:rFonts w:asciiTheme="minorHAnsi" w:hAnsiTheme="minorHAnsi" w:cstheme="minorHAnsi"/>
                <w:b/>
                <w:color w:val="000000"/>
                <w:sz w:val="20"/>
                <w:szCs w:val="20"/>
                <w:lang w:eastAsia="pt-BR"/>
              </w:rPr>
              <w:t>- IMÓVEL 05 - 03 TERRENOS COM EDIFICACOES EM CUIABÁ</w:t>
            </w:r>
          </w:p>
        </w:tc>
        <w:tc>
          <w:tcPr>
            <w:tcW w:w="2524" w:type="dxa"/>
          </w:tcPr>
          <w:p w:rsidR="001C0BF3" w:rsidRPr="0071126E" w:rsidRDefault="001C0BF3" w:rsidP="00891971">
            <w:pPr>
              <w:jc w:val="right"/>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515151"/>
                <w:sz w:val="20"/>
                <w:szCs w:val="20"/>
                <w:lang w:eastAsia="pt-BR"/>
              </w:rPr>
              <w:t>1.500.000,00</w:t>
            </w:r>
          </w:p>
        </w:tc>
      </w:tr>
      <w:tr w:rsidR="00712C88" w:rsidRPr="0071126E" w:rsidTr="00827F95">
        <w:tc>
          <w:tcPr>
            <w:tcW w:w="7104" w:type="dxa"/>
          </w:tcPr>
          <w:p w:rsidR="001C0BF3" w:rsidRPr="0071126E" w:rsidRDefault="001C0BF3" w:rsidP="00891971">
            <w:pPr>
              <w:shd w:val="clear" w:color="auto" w:fill="FFFFFF"/>
              <w:rPr>
                <w:rFonts w:asciiTheme="minorHAnsi" w:hAnsiTheme="minorHAnsi" w:cstheme="minorHAnsi"/>
                <w:b/>
                <w:color w:val="222222"/>
                <w:sz w:val="20"/>
                <w:szCs w:val="20"/>
                <w:lang w:eastAsia="pt-BR"/>
              </w:rPr>
            </w:pPr>
            <w:r w:rsidRPr="0071126E">
              <w:rPr>
                <w:rFonts w:asciiTheme="minorHAnsi" w:hAnsiTheme="minorHAnsi" w:cstheme="minorHAnsi"/>
                <w:b/>
                <w:color w:val="000000"/>
                <w:sz w:val="20"/>
                <w:szCs w:val="20"/>
                <w:lang w:eastAsia="pt-BR"/>
              </w:rPr>
              <w:t>- IMÓVEL 06 - 03 CASAS EM CUIABÁ</w:t>
            </w:r>
          </w:p>
        </w:tc>
        <w:tc>
          <w:tcPr>
            <w:tcW w:w="2524" w:type="dxa"/>
          </w:tcPr>
          <w:p w:rsidR="001C0BF3" w:rsidRPr="0071126E" w:rsidRDefault="001C0BF3" w:rsidP="00891971">
            <w:pPr>
              <w:jc w:val="right"/>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515151"/>
                <w:sz w:val="20"/>
                <w:szCs w:val="20"/>
                <w:lang w:eastAsia="pt-BR"/>
              </w:rPr>
              <w:t>600.000,00</w:t>
            </w:r>
          </w:p>
        </w:tc>
      </w:tr>
      <w:tr w:rsidR="00712C88" w:rsidRPr="0071126E" w:rsidTr="00827F95">
        <w:tc>
          <w:tcPr>
            <w:tcW w:w="7104" w:type="dxa"/>
          </w:tcPr>
          <w:p w:rsidR="001C0BF3" w:rsidRPr="0071126E" w:rsidRDefault="001C0BF3" w:rsidP="00891971">
            <w:pPr>
              <w:shd w:val="clear" w:color="auto" w:fill="FFFFFF"/>
              <w:rPr>
                <w:rFonts w:asciiTheme="minorHAnsi" w:hAnsiTheme="minorHAnsi" w:cstheme="minorHAnsi"/>
                <w:color w:val="222222"/>
                <w:sz w:val="20"/>
                <w:szCs w:val="20"/>
                <w:lang w:eastAsia="pt-BR"/>
              </w:rPr>
            </w:pPr>
            <w:r w:rsidRPr="0071126E">
              <w:rPr>
                <w:rFonts w:asciiTheme="minorHAnsi" w:hAnsiTheme="minorHAnsi" w:cstheme="minorHAnsi"/>
                <w:b/>
                <w:color w:val="000000"/>
                <w:sz w:val="20"/>
                <w:szCs w:val="20"/>
                <w:lang w:eastAsia="pt-BR"/>
              </w:rPr>
              <w:t>- IMÓVEL 07 - 01 AREA RURAL</w:t>
            </w:r>
          </w:p>
        </w:tc>
        <w:tc>
          <w:tcPr>
            <w:tcW w:w="2524" w:type="dxa"/>
          </w:tcPr>
          <w:p w:rsidR="001C0BF3" w:rsidRPr="0071126E" w:rsidRDefault="001C0BF3" w:rsidP="00891971">
            <w:pPr>
              <w:jc w:val="right"/>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515151"/>
                <w:sz w:val="20"/>
                <w:szCs w:val="20"/>
                <w:lang w:eastAsia="pt-BR"/>
              </w:rPr>
              <w:t>1.500.000,00</w:t>
            </w:r>
          </w:p>
        </w:tc>
      </w:tr>
      <w:tr w:rsidR="00712C88" w:rsidRPr="0071126E" w:rsidTr="00827F95">
        <w:tc>
          <w:tcPr>
            <w:tcW w:w="7104" w:type="dxa"/>
          </w:tcPr>
          <w:p w:rsidR="001C0BF3" w:rsidRPr="0071126E" w:rsidRDefault="001C0BF3" w:rsidP="00891971">
            <w:pPr>
              <w:shd w:val="clear" w:color="auto" w:fill="FFFFFF"/>
              <w:jc w:val="both"/>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000000"/>
                <w:sz w:val="20"/>
                <w:szCs w:val="20"/>
                <w:lang w:eastAsia="pt-BR"/>
              </w:rPr>
              <w:t>- IMÓVEL 08 - 03 TERRENOS DIVERSOS EM CUIABA E VARZEA GRANDE</w:t>
            </w:r>
          </w:p>
        </w:tc>
        <w:tc>
          <w:tcPr>
            <w:tcW w:w="2524" w:type="dxa"/>
          </w:tcPr>
          <w:p w:rsidR="001C0BF3" w:rsidRPr="0071126E" w:rsidRDefault="001C0BF3" w:rsidP="00891971">
            <w:pPr>
              <w:jc w:val="right"/>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515151"/>
                <w:sz w:val="20"/>
                <w:szCs w:val="20"/>
                <w:lang w:eastAsia="pt-BR"/>
              </w:rPr>
              <w:t>300.000,00</w:t>
            </w:r>
          </w:p>
        </w:tc>
      </w:tr>
      <w:tr w:rsidR="00712C88" w:rsidRPr="0071126E" w:rsidTr="00827F95">
        <w:tc>
          <w:tcPr>
            <w:tcW w:w="7104" w:type="dxa"/>
          </w:tcPr>
          <w:p w:rsidR="001C0BF3" w:rsidRPr="0071126E" w:rsidRDefault="001C0BF3" w:rsidP="00891971">
            <w:pPr>
              <w:shd w:val="clear" w:color="auto" w:fill="FFFFFF"/>
              <w:rPr>
                <w:rFonts w:asciiTheme="minorHAnsi" w:hAnsiTheme="minorHAnsi" w:cstheme="minorHAnsi"/>
                <w:b/>
                <w:color w:val="222222"/>
                <w:sz w:val="20"/>
                <w:szCs w:val="20"/>
                <w:lang w:eastAsia="pt-BR"/>
              </w:rPr>
            </w:pPr>
            <w:r w:rsidRPr="0071126E">
              <w:rPr>
                <w:rFonts w:asciiTheme="minorHAnsi" w:hAnsiTheme="minorHAnsi" w:cstheme="minorHAnsi"/>
                <w:b/>
                <w:color w:val="000000"/>
                <w:sz w:val="20"/>
                <w:szCs w:val="20"/>
                <w:lang w:eastAsia="pt-BR"/>
              </w:rPr>
              <w:t xml:space="preserve">- IMÓVEL 09 - 01 CASA EM CUIABA </w:t>
            </w:r>
          </w:p>
        </w:tc>
        <w:tc>
          <w:tcPr>
            <w:tcW w:w="2524" w:type="dxa"/>
          </w:tcPr>
          <w:p w:rsidR="001C0BF3" w:rsidRPr="0071126E" w:rsidRDefault="001C0BF3" w:rsidP="00891971">
            <w:pPr>
              <w:jc w:val="right"/>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515151"/>
                <w:sz w:val="20"/>
                <w:szCs w:val="20"/>
                <w:lang w:eastAsia="pt-BR"/>
              </w:rPr>
              <w:t>500.000,00</w:t>
            </w:r>
          </w:p>
        </w:tc>
      </w:tr>
      <w:tr w:rsidR="00712C88" w:rsidRPr="0071126E" w:rsidTr="00827F95">
        <w:tc>
          <w:tcPr>
            <w:tcW w:w="7104" w:type="dxa"/>
          </w:tcPr>
          <w:p w:rsidR="001C0BF3" w:rsidRPr="0071126E" w:rsidRDefault="001C0BF3" w:rsidP="00891971">
            <w:pPr>
              <w:shd w:val="clear" w:color="auto" w:fill="FFFFFF"/>
              <w:rPr>
                <w:rFonts w:asciiTheme="minorHAnsi" w:hAnsiTheme="minorHAnsi" w:cstheme="minorHAnsi"/>
                <w:b/>
                <w:color w:val="222222"/>
                <w:sz w:val="20"/>
                <w:szCs w:val="20"/>
                <w:lang w:eastAsia="pt-BR"/>
              </w:rPr>
            </w:pPr>
            <w:r w:rsidRPr="0071126E">
              <w:rPr>
                <w:rFonts w:asciiTheme="minorHAnsi" w:hAnsiTheme="minorHAnsi" w:cstheme="minorHAnsi"/>
                <w:b/>
                <w:color w:val="000000"/>
                <w:sz w:val="20"/>
                <w:szCs w:val="20"/>
                <w:lang w:eastAsia="pt-BR"/>
              </w:rPr>
              <w:t xml:space="preserve">- IMÓVEL 10 - 01 PRÉDIO COMERCIAL </w:t>
            </w:r>
          </w:p>
        </w:tc>
        <w:tc>
          <w:tcPr>
            <w:tcW w:w="2524" w:type="dxa"/>
          </w:tcPr>
          <w:p w:rsidR="001C0BF3" w:rsidRPr="0071126E" w:rsidRDefault="001C0BF3" w:rsidP="00891971">
            <w:pPr>
              <w:jc w:val="right"/>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515151"/>
                <w:sz w:val="20"/>
                <w:szCs w:val="20"/>
                <w:lang w:eastAsia="pt-BR"/>
              </w:rPr>
              <w:t>200.000,00</w:t>
            </w:r>
          </w:p>
        </w:tc>
      </w:tr>
      <w:tr w:rsidR="00712C88" w:rsidRPr="0071126E" w:rsidTr="00827F95">
        <w:tc>
          <w:tcPr>
            <w:tcW w:w="7104" w:type="dxa"/>
          </w:tcPr>
          <w:p w:rsidR="001C0BF3" w:rsidRPr="0071126E" w:rsidRDefault="001C0BF3" w:rsidP="00891971">
            <w:pPr>
              <w:shd w:val="clear" w:color="auto" w:fill="FFFFFF"/>
              <w:rPr>
                <w:rFonts w:asciiTheme="minorHAnsi" w:hAnsiTheme="minorHAnsi" w:cstheme="minorHAnsi"/>
                <w:color w:val="222222"/>
                <w:sz w:val="20"/>
                <w:szCs w:val="20"/>
                <w:lang w:eastAsia="pt-BR"/>
              </w:rPr>
            </w:pPr>
            <w:r w:rsidRPr="0071126E">
              <w:rPr>
                <w:rFonts w:asciiTheme="minorHAnsi" w:hAnsiTheme="minorHAnsi" w:cstheme="minorHAnsi"/>
                <w:b/>
                <w:color w:val="000000"/>
                <w:sz w:val="20"/>
                <w:szCs w:val="20"/>
                <w:lang w:eastAsia="pt-BR"/>
              </w:rPr>
              <w:t xml:space="preserve">- IMÓVEL 12 - </w:t>
            </w:r>
            <w:r w:rsidRPr="0071126E">
              <w:rPr>
                <w:rFonts w:asciiTheme="minorHAnsi" w:hAnsiTheme="minorHAnsi" w:cstheme="minorHAnsi"/>
                <w:b/>
                <w:color w:val="222222"/>
                <w:sz w:val="20"/>
                <w:szCs w:val="20"/>
                <w:lang w:eastAsia="pt-BR"/>
              </w:rPr>
              <w:t>01 TERRENO EM VARZEA GRANDE</w:t>
            </w:r>
          </w:p>
        </w:tc>
        <w:tc>
          <w:tcPr>
            <w:tcW w:w="2524" w:type="dxa"/>
          </w:tcPr>
          <w:p w:rsidR="001C0BF3" w:rsidRPr="0071126E" w:rsidRDefault="001C0BF3" w:rsidP="00891971">
            <w:pPr>
              <w:jc w:val="right"/>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515151"/>
                <w:sz w:val="20"/>
                <w:szCs w:val="20"/>
                <w:lang w:eastAsia="pt-BR"/>
              </w:rPr>
              <w:t>500,000,00</w:t>
            </w:r>
          </w:p>
        </w:tc>
      </w:tr>
      <w:tr w:rsidR="00712C88" w:rsidRPr="0071126E" w:rsidTr="00827F95">
        <w:tc>
          <w:tcPr>
            <w:tcW w:w="7104" w:type="dxa"/>
            <w:tcBorders>
              <w:bottom w:val="single" w:sz="4" w:space="0" w:color="auto"/>
            </w:tcBorders>
          </w:tcPr>
          <w:p w:rsidR="001C0BF3" w:rsidRPr="0071126E" w:rsidRDefault="001C0BF3" w:rsidP="00891971">
            <w:pPr>
              <w:shd w:val="clear" w:color="auto" w:fill="FFFFFF"/>
              <w:rPr>
                <w:rFonts w:asciiTheme="minorHAnsi" w:hAnsiTheme="minorHAnsi" w:cstheme="minorHAnsi"/>
                <w:color w:val="222222"/>
                <w:sz w:val="20"/>
                <w:szCs w:val="20"/>
                <w:lang w:eastAsia="pt-BR"/>
              </w:rPr>
            </w:pPr>
            <w:r w:rsidRPr="0071126E">
              <w:rPr>
                <w:rFonts w:asciiTheme="minorHAnsi" w:hAnsiTheme="minorHAnsi" w:cstheme="minorHAnsi"/>
                <w:b/>
                <w:color w:val="000000"/>
                <w:sz w:val="20"/>
                <w:szCs w:val="20"/>
                <w:lang w:eastAsia="pt-BR"/>
              </w:rPr>
              <w:t xml:space="preserve">- IMÓVEL 13 - </w:t>
            </w:r>
            <w:r w:rsidRPr="0071126E">
              <w:rPr>
                <w:rFonts w:asciiTheme="minorHAnsi" w:hAnsiTheme="minorHAnsi" w:cstheme="minorHAnsi"/>
                <w:b/>
                <w:color w:val="222222"/>
                <w:sz w:val="20"/>
                <w:szCs w:val="20"/>
                <w:lang w:eastAsia="pt-BR"/>
              </w:rPr>
              <w:t>01 APTO NO RIO DE JANEIRO</w:t>
            </w:r>
          </w:p>
        </w:tc>
        <w:tc>
          <w:tcPr>
            <w:tcW w:w="2524" w:type="dxa"/>
            <w:tcBorders>
              <w:bottom w:val="single" w:sz="4" w:space="0" w:color="auto"/>
            </w:tcBorders>
          </w:tcPr>
          <w:p w:rsidR="001C0BF3" w:rsidRPr="0071126E" w:rsidRDefault="001C0BF3" w:rsidP="00891971">
            <w:pPr>
              <w:jc w:val="right"/>
              <w:textAlignment w:val="baseline"/>
              <w:rPr>
                <w:rFonts w:asciiTheme="minorHAnsi" w:hAnsiTheme="minorHAnsi" w:cstheme="minorHAnsi"/>
                <w:b/>
                <w:color w:val="515151"/>
                <w:sz w:val="20"/>
                <w:szCs w:val="20"/>
                <w:lang w:eastAsia="pt-BR"/>
              </w:rPr>
            </w:pPr>
            <w:r w:rsidRPr="0071126E">
              <w:rPr>
                <w:rFonts w:asciiTheme="minorHAnsi" w:hAnsiTheme="minorHAnsi" w:cstheme="minorHAnsi"/>
                <w:b/>
                <w:color w:val="515151"/>
                <w:sz w:val="20"/>
                <w:szCs w:val="20"/>
                <w:lang w:eastAsia="pt-BR"/>
              </w:rPr>
              <w:t>500.000,00</w:t>
            </w:r>
          </w:p>
        </w:tc>
      </w:tr>
      <w:tr w:rsidR="00712C88" w:rsidRPr="0071126E" w:rsidTr="00827F95">
        <w:tc>
          <w:tcPr>
            <w:tcW w:w="7104" w:type="dxa"/>
            <w:tcBorders>
              <w:left w:val="nil"/>
              <w:right w:val="nil"/>
            </w:tcBorders>
          </w:tcPr>
          <w:p w:rsidR="001C0BF3" w:rsidRPr="0071126E" w:rsidRDefault="001C0BF3" w:rsidP="00891971">
            <w:pPr>
              <w:shd w:val="clear" w:color="auto" w:fill="FFFFFF"/>
              <w:rPr>
                <w:rFonts w:asciiTheme="minorHAnsi" w:hAnsiTheme="minorHAnsi" w:cstheme="minorHAnsi"/>
                <w:color w:val="222222"/>
                <w:sz w:val="20"/>
                <w:szCs w:val="20"/>
                <w:lang w:eastAsia="pt-BR"/>
              </w:rPr>
            </w:pPr>
          </w:p>
        </w:tc>
        <w:tc>
          <w:tcPr>
            <w:tcW w:w="2524" w:type="dxa"/>
            <w:tcBorders>
              <w:left w:val="nil"/>
              <w:right w:val="nil"/>
            </w:tcBorders>
          </w:tcPr>
          <w:p w:rsidR="001C0BF3" w:rsidRPr="0071126E" w:rsidRDefault="001C0BF3" w:rsidP="00891971">
            <w:pPr>
              <w:jc w:val="right"/>
              <w:textAlignment w:val="baseline"/>
              <w:rPr>
                <w:rFonts w:asciiTheme="minorHAnsi" w:hAnsiTheme="minorHAnsi" w:cstheme="minorHAnsi"/>
                <w:b/>
                <w:color w:val="515151"/>
                <w:sz w:val="20"/>
                <w:szCs w:val="20"/>
                <w:lang w:eastAsia="pt-BR"/>
              </w:rPr>
            </w:pPr>
          </w:p>
        </w:tc>
      </w:tr>
      <w:tr w:rsidR="00712C88" w:rsidRPr="0071126E" w:rsidTr="00827F95">
        <w:tc>
          <w:tcPr>
            <w:tcW w:w="7104" w:type="dxa"/>
          </w:tcPr>
          <w:p w:rsidR="001C0BF3" w:rsidRPr="0071126E" w:rsidRDefault="001C0BF3" w:rsidP="00891971">
            <w:pPr>
              <w:shd w:val="clear" w:color="auto" w:fill="FFFFFF"/>
              <w:rPr>
                <w:rFonts w:asciiTheme="minorHAnsi" w:hAnsiTheme="minorHAnsi" w:cstheme="minorHAnsi"/>
                <w:b/>
                <w:color w:val="222222"/>
                <w:sz w:val="20"/>
                <w:szCs w:val="20"/>
                <w:lang w:eastAsia="pt-BR"/>
              </w:rPr>
            </w:pPr>
            <w:r w:rsidRPr="0071126E">
              <w:rPr>
                <w:rFonts w:asciiTheme="minorHAnsi" w:hAnsiTheme="minorHAnsi" w:cstheme="minorHAnsi"/>
                <w:b/>
                <w:color w:val="222222"/>
                <w:sz w:val="20"/>
                <w:szCs w:val="20"/>
                <w:lang w:eastAsia="pt-BR"/>
              </w:rPr>
              <w:t>TOTAL DOS BENS</w:t>
            </w:r>
          </w:p>
        </w:tc>
        <w:tc>
          <w:tcPr>
            <w:tcW w:w="2524" w:type="dxa"/>
          </w:tcPr>
          <w:p w:rsidR="001C0BF3" w:rsidRPr="0071126E" w:rsidRDefault="00827F95" w:rsidP="00891971">
            <w:pPr>
              <w:jc w:val="right"/>
              <w:textAlignment w:val="baseline"/>
              <w:rPr>
                <w:rFonts w:asciiTheme="minorHAnsi" w:hAnsiTheme="minorHAnsi" w:cstheme="minorHAnsi"/>
                <w:b/>
                <w:color w:val="515151"/>
                <w:sz w:val="20"/>
                <w:szCs w:val="20"/>
                <w:lang w:eastAsia="pt-BR"/>
              </w:rPr>
            </w:pPr>
            <w:r>
              <w:rPr>
                <w:rFonts w:asciiTheme="minorHAnsi" w:hAnsiTheme="minorHAnsi" w:cstheme="minorHAnsi"/>
                <w:b/>
                <w:color w:val="515151"/>
                <w:sz w:val="20"/>
                <w:szCs w:val="20"/>
                <w:lang w:eastAsia="pt-BR"/>
              </w:rPr>
              <w:t>7</w:t>
            </w:r>
            <w:r w:rsidR="001C0BF3" w:rsidRPr="0071126E">
              <w:rPr>
                <w:rFonts w:asciiTheme="minorHAnsi" w:hAnsiTheme="minorHAnsi" w:cstheme="minorHAnsi"/>
                <w:b/>
                <w:color w:val="515151"/>
                <w:sz w:val="20"/>
                <w:szCs w:val="20"/>
                <w:lang w:eastAsia="pt-BR"/>
              </w:rPr>
              <w:t>.</w:t>
            </w:r>
            <w:r>
              <w:rPr>
                <w:rFonts w:asciiTheme="minorHAnsi" w:hAnsiTheme="minorHAnsi" w:cstheme="minorHAnsi"/>
                <w:b/>
                <w:color w:val="515151"/>
                <w:sz w:val="20"/>
                <w:szCs w:val="20"/>
                <w:lang w:eastAsia="pt-BR"/>
              </w:rPr>
              <w:t>8</w:t>
            </w:r>
            <w:r w:rsidR="001C0BF3" w:rsidRPr="0071126E">
              <w:rPr>
                <w:rFonts w:asciiTheme="minorHAnsi" w:hAnsiTheme="minorHAnsi" w:cstheme="minorHAnsi"/>
                <w:b/>
                <w:color w:val="515151"/>
                <w:sz w:val="20"/>
                <w:szCs w:val="20"/>
                <w:lang w:eastAsia="pt-BR"/>
              </w:rPr>
              <w:t>10.000,00</w:t>
            </w:r>
          </w:p>
        </w:tc>
      </w:tr>
    </w:tbl>
    <w:p w:rsidR="001C0BF3" w:rsidRDefault="001C0BF3" w:rsidP="00891971">
      <w:pPr>
        <w:shd w:val="clear" w:color="auto" w:fill="FFFFFF"/>
        <w:jc w:val="both"/>
        <w:textAlignment w:val="baseline"/>
        <w:rPr>
          <w:rFonts w:asciiTheme="minorHAnsi" w:hAnsiTheme="minorHAnsi" w:cstheme="minorHAnsi"/>
          <w:b/>
          <w:color w:val="515151"/>
          <w:lang w:eastAsia="pt-BR"/>
        </w:rPr>
      </w:pPr>
    </w:p>
    <w:p w:rsidR="00EF7F20" w:rsidRDefault="00EF7F20" w:rsidP="00891971">
      <w:pPr>
        <w:jc w:val="center"/>
        <w:rPr>
          <w:b/>
          <w:u w:val="single"/>
        </w:rPr>
        <w:sectPr w:rsidR="00EF7F20" w:rsidSect="001C0BF3">
          <w:pgSz w:w="11906" w:h="16838"/>
          <w:pgMar w:top="567" w:right="1134" w:bottom="567" w:left="1134" w:header="709" w:footer="709" w:gutter="0"/>
          <w:cols w:space="708"/>
          <w:docGrid w:linePitch="360"/>
        </w:sectPr>
      </w:pPr>
    </w:p>
    <w:p w:rsidR="00F82116" w:rsidRDefault="00F82116" w:rsidP="00A30AB2">
      <w:pPr>
        <w:pStyle w:val="Ttulo2"/>
        <w:spacing w:before="0"/>
        <w:ind w:left="0"/>
      </w:pPr>
      <w:r>
        <w:rPr>
          <w:color w:val="231F20"/>
        </w:rPr>
        <w:lastRenderedPageBreak/>
        <w:t>1 Demonstrativo do Caso Concreto:</w:t>
      </w:r>
    </w:p>
    <w:p w:rsidR="00F82116" w:rsidRDefault="000477FF" w:rsidP="00891971">
      <w:pPr>
        <w:pStyle w:val="Corpodetexto"/>
        <w:jc w:val="both"/>
      </w:pPr>
      <w:r>
        <w:rPr>
          <w:color w:val="231F20"/>
        </w:rPr>
        <w:t>A constituição de uma ou mais empresa, a sua continuidade e ainda a saúde financeira, não são tarefas fáceis de atingir ao longo do tempo</w:t>
      </w:r>
      <w:r w:rsidR="00F82116">
        <w:rPr>
          <w:color w:val="231F20"/>
        </w:rPr>
        <w:t xml:space="preserve">, </w:t>
      </w:r>
      <w:r>
        <w:rPr>
          <w:color w:val="231F20"/>
        </w:rPr>
        <w:t xml:space="preserve">mas será </w:t>
      </w:r>
      <w:r w:rsidR="00F82116">
        <w:rPr>
          <w:color w:val="231F20"/>
        </w:rPr>
        <w:t>que a</w:t>
      </w:r>
      <w:r>
        <w:rPr>
          <w:color w:val="231F20"/>
        </w:rPr>
        <w:t>s</w:t>
      </w:r>
      <w:r w:rsidR="00F82116">
        <w:rPr>
          <w:color w:val="231F20"/>
        </w:rPr>
        <w:t xml:space="preserve"> geraç</w:t>
      </w:r>
      <w:r>
        <w:rPr>
          <w:color w:val="231F20"/>
        </w:rPr>
        <w:t xml:space="preserve">ões </w:t>
      </w:r>
      <w:r w:rsidR="00F82116">
        <w:rPr>
          <w:color w:val="231F20"/>
        </w:rPr>
        <w:t>d</w:t>
      </w:r>
      <w:r>
        <w:rPr>
          <w:color w:val="231F20"/>
        </w:rPr>
        <w:t>os</w:t>
      </w:r>
      <w:r w:rsidR="00F82116">
        <w:rPr>
          <w:color w:val="231F20"/>
        </w:rPr>
        <w:t xml:space="preserve"> filhos </w:t>
      </w:r>
      <w:r>
        <w:rPr>
          <w:color w:val="231F20"/>
        </w:rPr>
        <w:t xml:space="preserve">dos patriarcas </w:t>
      </w:r>
      <w:r w:rsidR="00F82116">
        <w:rPr>
          <w:color w:val="231F20"/>
        </w:rPr>
        <w:t>ter</w:t>
      </w:r>
      <w:r>
        <w:rPr>
          <w:color w:val="231F20"/>
        </w:rPr>
        <w:t>ão</w:t>
      </w:r>
      <w:r w:rsidR="00F82116">
        <w:rPr>
          <w:color w:val="231F20"/>
        </w:rPr>
        <w:t xml:space="preserve"> competência e vontade para dar continuidade ao projeto encabeçado com tanto esmero pelos seus pais? Certamente, não são muitos aqueles que se preocupam com isso, até porque a maior parte da nova geração acaba seguindo outros rumos profissionais. No entanto, aqueles que dão</w:t>
      </w:r>
      <w:r w:rsidR="00F82116">
        <w:rPr>
          <w:color w:val="231F20"/>
          <w:spacing w:val="-29"/>
        </w:rPr>
        <w:t xml:space="preserve"> </w:t>
      </w:r>
      <w:r w:rsidR="00F82116">
        <w:rPr>
          <w:color w:val="231F20"/>
        </w:rPr>
        <w:t>importância para essa questão, esses necessitarão tomar algumas decisões com relação ao seu patrimônio para não deixar a próxima geração de sua família desprotegida. Haveria uma solução para evitar que o negócio construído pelo patriarca não seja simplesmente vendido pelos filhos e continue a ser uma</w:t>
      </w:r>
      <w:r w:rsidR="00F82116">
        <w:rPr>
          <w:color w:val="231F20"/>
          <w:spacing w:val="-27"/>
        </w:rPr>
        <w:t xml:space="preserve"> </w:t>
      </w:r>
      <w:r w:rsidR="00F82116">
        <w:rPr>
          <w:color w:val="231F20"/>
        </w:rPr>
        <w:t>fonte de receita para eles?</w:t>
      </w:r>
    </w:p>
    <w:p w:rsidR="00823DDA" w:rsidRDefault="00823DDA" w:rsidP="00891971">
      <w:pPr>
        <w:pStyle w:val="Corpodetexto"/>
        <w:jc w:val="both"/>
        <w:rPr>
          <w:color w:val="231F20"/>
        </w:rPr>
      </w:pPr>
    </w:p>
    <w:p w:rsidR="00F82116" w:rsidRDefault="000477FF" w:rsidP="00891971">
      <w:pPr>
        <w:pStyle w:val="Corpodetexto"/>
        <w:jc w:val="both"/>
        <w:rPr>
          <w:color w:val="231F20"/>
        </w:rPr>
      </w:pPr>
      <w:r>
        <w:rPr>
          <w:color w:val="231F20"/>
        </w:rPr>
        <w:t>Esta proposta</w:t>
      </w:r>
      <w:r w:rsidR="00F82116">
        <w:rPr>
          <w:color w:val="231F20"/>
        </w:rPr>
        <w:t xml:space="preserve"> tem, justamente, o propósito   de estudar uma solução para este problema que é, hoje, legalmente e economicamente viável, a </w:t>
      </w:r>
      <w:r w:rsidR="00F82116">
        <w:rPr>
          <w:i/>
          <w:color w:val="231F20"/>
        </w:rPr>
        <w:t xml:space="preserve">holding </w:t>
      </w:r>
      <w:r w:rsidR="00F82116">
        <w:rPr>
          <w:color w:val="231F20"/>
          <w:spacing w:val="-3"/>
        </w:rPr>
        <w:t xml:space="preserve">familiar, </w:t>
      </w:r>
      <w:r w:rsidR="00F82116">
        <w:rPr>
          <w:color w:val="231F20"/>
        </w:rPr>
        <w:t xml:space="preserve">estratégia de gestão corporativa que existe já há algum tempo, mas que ainda parece não ter se inserido na cultura dos </w:t>
      </w:r>
      <w:r>
        <w:rPr>
          <w:color w:val="231F20"/>
        </w:rPr>
        <w:t>empresários espalhados pelo país</w:t>
      </w:r>
      <w:r w:rsidR="00F82116">
        <w:rPr>
          <w:color w:val="231F20"/>
        </w:rPr>
        <w:t xml:space="preserve">. </w:t>
      </w:r>
      <w:r>
        <w:rPr>
          <w:color w:val="231F20"/>
        </w:rPr>
        <w:t>O</w:t>
      </w:r>
      <w:r w:rsidR="00F82116">
        <w:rPr>
          <w:color w:val="231F20"/>
        </w:rPr>
        <w:t xml:space="preserve"> objetivo geral, portanto, é demonstrar os benefícios de utilização de uma holding familiar como uma solução para o planejamento sucessório de uma</w:t>
      </w:r>
      <w:r>
        <w:rPr>
          <w:color w:val="231F20"/>
        </w:rPr>
        <w:t xml:space="preserve"> ou mais </w:t>
      </w:r>
      <w:r w:rsidR="00F82116">
        <w:rPr>
          <w:color w:val="231F20"/>
        </w:rPr>
        <w:t>empresa</w:t>
      </w:r>
      <w:r w:rsidR="004E4363">
        <w:rPr>
          <w:color w:val="231F20"/>
        </w:rPr>
        <w:t>.</w:t>
      </w:r>
    </w:p>
    <w:p w:rsidR="00A30AB2" w:rsidRDefault="00A30AB2" w:rsidP="00A30AB2">
      <w:pPr>
        <w:pStyle w:val="Corpodetexto"/>
        <w:jc w:val="both"/>
        <w:rPr>
          <w:b/>
          <w:color w:val="231F20"/>
        </w:rPr>
      </w:pPr>
    </w:p>
    <w:p w:rsidR="004E4363" w:rsidRDefault="00A30AB2" w:rsidP="00A30AB2">
      <w:pPr>
        <w:pStyle w:val="Corpodetexto"/>
        <w:jc w:val="both"/>
        <w:rPr>
          <w:b/>
          <w:color w:val="231F20"/>
        </w:rPr>
      </w:pPr>
      <w:r>
        <w:rPr>
          <w:b/>
          <w:color w:val="231F20"/>
        </w:rPr>
        <w:t xml:space="preserve">1 </w:t>
      </w:r>
      <w:r w:rsidR="004E4363" w:rsidRPr="00A30AB2">
        <w:rPr>
          <w:b/>
          <w:color w:val="231F20"/>
        </w:rPr>
        <w:t>Desenvolvimento</w:t>
      </w:r>
    </w:p>
    <w:p w:rsidR="004E4363" w:rsidRDefault="00A30AB2" w:rsidP="00A30AB2">
      <w:pPr>
        <w:pStyle w:val="Corpodetexto"/>
        <w:jc w:val="both"/>
        <w:rPr>
          <w:b/>
        </w:rPr>
      </w:pPr>
      <w:r>
        <w:rPr>
          <w:b/>
          <w:color w:val="231F20"/>
        </w:rPr>
        <w:t xml:space="preserve">1.1.1 </w:t>
      </w:r>
      <w:r w:rsidR="004E4363">
        <w:rPr>
          <w:b/>
          <w:color w:val="231F20"/>
        </w:rPr>
        <w:t>Metodologia</w:t>
      </w:r>
    </w:p>
    <w:p w:rsidR="004E4363" w:rsidRDefault="004E4363" w:rsidP="00891971">
      <w:pPr>
        <w:pStyle w:val="Corpodetexto"/>
        <w:jc w:val="both"/>
        <w:rPr>
          <w:color w:val="231F20"/>
        </w:rPr>
      </w:pPr>
      <w:r>
        <w:rPr>
          <w:color w:val="231F20"/>
        </w:rPr>
        <w:t xml:space="preserve">Com  relação  aos  métodos  utilizados,  foi   realizado um levantamento bibliográfico do contexto legal de uma holding familiar, assim como se utilizou o método descritivo para demonstrar a situação atual da empresa dentro dessa perspectiva. </w:t>
      </w:r>
      <w:r w:rsidR="00BC4DF6">
        <w:rPr>
          <w:color w:val="231F20"/>
        </w:rPr>
        <w:t>O</w:t>
      </w:r>
      <w:r>
        <w:rPr>
          <w:color w:val="231F20"/>
        </w:rPr>
        <w:t xml:space="preserve"> método escolhido para uma pesquisa deve estar coerente com a forma como </w:t>
      </w:r>
      <w:r>
        <w:rPr>
          <w:color w:val="231F20"/>
          <w:spacing w:val="-16"/>
        </w:rPr>
        <w:t xml:space="preserve">o </w:t>
      </w:r>
      <w:r>
        <w:rPr>
          <w:color w:val="231F20"/>
        </w:rPr>
        <w:t xml:space="preserve">problema foi levantado e, nesse caso, para se definir o </w:t>
      </w:r>
      <w:r>
        <w:rPr>
          <w:color w:val="231F20"/>
          <w:spacing w:val="-3"/>
        </w:rPr>
        <w:t xml:space="preserve">melhor </w:t>
      </w:r>
      <w:r>
        <w:rPr>
          <w:color w:val="231F20"/>
        </w:rPr>
        <w:t>regime tributário a ser adotado em uma estrutura corporativa, fez-se</w:t>
      </w:r>
      <w:r>
        <w:rPr>
          <w:color w:val="231F20"/>
          <w:spacing w:val="-5"/>
        </w:rPr>
        <w:t xml:space="preserve"> </w:t>
      </w:r>
      <w:r>
        <w:rPr>
          <w:color w:val="231F20"/>
        </w:rPr>
        <w:t>necessário</w:t>
      </w:r>
      <w:r>
        <w:rPr>
          <w:color w:val="231F20"/>
          <w:spacing w:val="-5"/>
        </w:rPr>
        <w:t xml:space="preserve"> </w:t>
      </w:r>
      <w:r>
        <w:rPr>
          <w:color w:val="231F20"/>
        </w:rPr>
        <w:t>levantar</w:t>
      </w:r>
      <w:r>
        <w:rPr>
          <w:color w:val="231F20"/>
          <w:spacing w:val="-6"/>
        </w:rPr>
        <w:t xml:space="preserve"> </w:t>
      </w:r>
      <w:r>
        <w:rPr>
          <w:color w:val="231F20"/>
        </w:rPr>
        <w:t>sua</w:t>
      </w:r>
      <w:r>
        <w:rPr>
          <w:color w:val="231F20"/>
          <w:spacing w:val="-4"/>
        </w:rPr>
        <w:t xml:space="preserve"> </w:t>
      </w:r>
      <w:r>
        <w:rPr>
          <w:color w:val="231F20"/>
        </w:rPr>
        <w:t>estrutura</w:t>
      </w:r>
      <w:r>
        <w:rPr>
          <w:color w:val="231F20"/>
          <w:spacing w:val="-5"/>
        </w:rPr>
        <w:t xml:space="preserve"> </w:t>
      </w:r>
      <w:r>
        <w:rPr>
          <w:color w:val="231F20"/>
        </w:rPr>
        <w:t>de</w:t>
      </w:r>
      <w:r>
        <w:rPr>
          <w:color w:val="231F20"/>
          <w:spacing w:val="-5"/>
        </w:rPr>
        <w:t xml:space="preserve"> </w:t>
      </w:r>
      <w:r>
        <w:rPr>
          <w:color w:val="231F20"/>
        </w:rPr>
        <w:t>custos,</w:t>
      </w:r>
      <w:r>
        <w:rPr>
          <w:color w:val="231F20"/>
          <w:spacing w:val="-4"/>
        </w:rPr>
        <w:t xml:space="preserve"> </w:t>
      </w:r>
      <w:r>
        <w:rPr>
          <w:color w:val="231F20"/>
        </w:rPr>
        <w:t>de</w:t>
      </w:r>
      <w:r>
        <w:rPr>
          <w:color w:val="231F20"/>
          <w:spacing w:val="-5"/>
        </w:rPr>
        <w:t xml:space="preserve"> </w:t>
      </w:r>
      <w:r>
        <w:rPr>
          <w:color w:val="231F20"/>
        </w:rPr>
        <w:t>despesas e de receitas. Em sequência, o levantamento de dados foi realizado por meio de documentos da organização fornecidos pelo empresário.</w:t>
      </w:r>
    </w:p>
    <w:p w:rsidR="00A30AB2" w:rsidRDefault="00A30AB2" w:rsidP="00891971">
      <w:pPr>
        <w:pStyle w:val="Corpodetexto"/>
        <w:jc w:val="both"/>
        <w:rPr>
          <w:color w:val="231F20"/>
        </w:rPr>
      </w:pPr>
    </w:p>
    <w:p w:rsidR="004E4363" w:rsidRPr="00A30AB2" w:rsidRDefault="00A30AB2" w:rsidP="00A30AB2">
      <w:pPr>
        <w:pStyle w:val="Corpodetexto"/>
        <w:jc w:val="both"/>
        <w:rPr>
          <w:b/>
        </w:rPr>
      </w:pPr>
      <w:r w:rsidRPr="00A30AB2">
        <w:rPr>
          <w:b/>
          <w:color w:val="231F20"/>
        </w:rPr>
        <w:t xml:space="preserve">1.1.1 </w:t>
      </w:r>
      <w:r w:rsidR="004E4363" w:rsidRPr="00A30AB2">
        <w:rPr>
          <w:b/>
          <w:color w:val="231F20"/>
        </w:rPr>
        <w:t>Contexto Legal de uma Holding</w:t>
      </w:r>
      <w:r w:rsidR="004E4363" w:rsidRPr="00A30AB2">
        <w:rPr>
          <w:b/>
          <w:color w:val="231F20"/>
          <w:spacing w:val="-5"/>
        </w:rPr>
        <w:t xml:space="preserve"> </w:t>
      </w:r>
      <w:r w:rsidR="004E4363" w:rsidRPr="00A30AB2">
        <w:rPr>
          <w:b/>
          <w:color w:val="231F20"/>
        </w:rPr>
        <w:t>Familiar</w:t>
      </w:r>
    </w:p>
    <w:p w:rsidR="004E4363" w:rsidRDefault="004E4363" w:rsidP="00891971">
      <w:pPr>
        <w:pStyle w:val="Corpodetexto"/>
        <w:jc w:val="both"/>
      </w:pPr>
      <w:r>
        <w:rPr>
          <w:color w:val="231F20"/>
        </w:rPr>
        <w:t xml:space="preserve">De acordo com o que prevê o § 3º </w:t>
      </w:r>
      <w:r w:rsidR="00643BF9">
        <w:rPr>
          <w:color w:val="231F20"/>
        </w:rPr>
        <w:t>do artigo 2º da Lei nº 6.404/76</w:t>
      </w:r>
      <w:r>
        <w:rPr>
          <w:color w:val="231F20"/>
        </w:rPr>
        <w:t xml:space="preserve"> – a Lei das Sociedades Anônimas</w:t>
      </w:r>
      <w:r w:rsidR="00E858B4">
        <w:rPr>
          <w:color w:val="231F20"/>
        </w:rPr>
        <w:t xml:space="preserve"> </w:t>
      </w:r>
      <w:r>
        <w:rPr>
          <w:color w:val="231F20"/>
        </w:rPr>
        <w:t>– o termo holding pode ser conceituado como sendo uma sociedade constituída com o objetivo de manter participações em outras empresas. Apesar dessa definição legal, empresas cujos objetivos mais abrangentes, que tenham como objeto social gerir um patrimônio ou controlar outras empresas são comumente chamadas de holding.</w:t>
      </w:r>
    </w:p>
    <w:p w:rsidR="00E858B4" w:rsidRDefault="00E858B4" w:rsidP="00891971">
      <w:pPr>
        <w:pStyle w:val="Corpodetexto"/>
        <w:jc w:val="both"/>
        <w:rPr>
          <w:color w:val="231F20"/>
        </w:rPr>
      </w:pPr>
    </w:p>
    <w:p w:rsidR="004E4363" w:rsidRDefault="004E4363" w:rsidP="00891971">
      <w:pPr>
        <w:pStyle w:val="Corpodetexto"/>
        <w:jc w:val="both"/>
      </w:pPr>
      <w:r>
        <w:rPr>
          <w:color w:val="231F20"/>
        </w:rPr>
        <w:t>O</w:t>
      </w:r>
      <w:r>
        <w:rPr>
          <w:color w:val="231F20"/>
          <w:spacing w:val="-9"/>
        </w:rPr>
        <w:t xml:space="preserve"> </w:t>
      </w:r>
      <w:r>
        <w:rPr>
          <w:color w:val="231F20"/>
        </w:rPr>
        <w:t>processo</w:t>
      </w:r>
      <w:r>
        <w:rPr>
          <w:color w:val="231F20"/>
          <w:spacing w:val="-9"/>
        </w:rPr>
        <w:t xml:space="preserve"> </w:t>
      </w:r>
      <w:r>
        <w:rPr>
          <w:color w:val="231F20"/>
        </w:rPr>
        <w:t>de</w:t>
      </w:r>
      <w:r>
        <w:rPr>
          <w:color w:val="231F20"/>
          <w:spacing w:val="-9"/>
        </w:rPr>
        <w:t xml:space="preserve"> </w:t>
      </w:r>
      <w:r>
        <w:rPr>
          <w:color w:val="231F20"/>
        </w:rPr>
        <w:t>criação</w:t>
      </w:r>
      <w:r>
        <w:rPr>
          <w:color w:val="231F20"/>
          <w:spacing w:val="-8"/>
        </w:rPr>
        <w:t xml:space="preserve"> </w:t>
      </w:r>
      <w:r>
        <w:rPr>
          <w:color w:val="231F20"/>
        </w:rPr>
        <w:t>da</w:t>
      </w:r>
      <w:r>
        <w:rPr>
          <w:color w:val="231F20"/>
          <w:spacing w:val="-9"/>
        </w:rPr>
        <w:t xml:space="preserve"> </w:t>
      </w:r>
      <w:r>
        <w:rPr>
          <w:color w:val="231F20"/>
        </w:rPr>
        <w:t>holding,</w:t>
      </w:r>
      <w:r>
        <w:rPr>
          <w:color w:val="231F20"/>
          <w:spacing w:val="-9"/>
        </w:rPr>
        <w:t xml:space="preserve"> </w:t>
      </w:r>
      <w:r>
        <w:rPr>
          <w:color w:val="231F20"/>
        </w:rPr>
        <w:t>especialmente,</w:t>
      </w:r>
      <w:r>
        <w:rPr>
          <w:color w:val="231F20"/>
          <w:spacing w:val="-8"/>
        </w:rPr>
        <w:t xml:space="preserve"> </w:t>
      </w:r>
      <w:r>
        <w:rPr>
          <w:color w:val="231F20"/>
        </w:rPr>
        <w:t>pelo</w:t>
      </w:r>
      <w:r>
        <w:rPr>
          <w:color w:val="231F20"/>
          <w:spacing w:val="-9"/>
        </w:rPr>
        <w:t xml:space="preserve"> </w:t>
      </w:r>
      <w:r>
        <w:rPr>
          <w:color w:val="231F20"/>
          <w:spacing w:val="-4"/>
        </w:rPr>
        <w:t xml:space="preserve">fato </w:t>
      </w:r>
      <w:r>
        <w:rPr>
          <w:color w:val="231F20"/>
        </w:rPr>
        <w:t xml:space="preserve">de ser em vida, define a sucessão da liderança e do controle patrimonial, o qual passa, efetivamente, para a pessoa jurídica. A liderança pode tanto passar para um determinado herdeiro que tenha maturidade, preparo técnico e </w:t>
      </w:r>
      <w:r>
        <w:rPr>
          <w:color w:val="231F20"/>
          <w:spacing w:val="-3"/>
        </w:rPr>
        <w:t xml:space="preserve">valores </w:t>
      </w:r>
      <w:r>
        <w:rPr>
          <w:color w:val="231F20"/>
        </w:rPr>
        <w:t xml:space="preserve">éticos para ocupar o cargo, quanto para um profissional </w:t>
      </w:r>
      <w:r>
        <w:rPr>
          <w:color w:val="231F20"/>
          <w:spacing w:val="-8"/>
        </w:rPr>
        <w:t xml:space="preserve">de </w:t>
      </w:r>
      <w:r>
        <w:rPr>
          <w:color w:val="231F20"/>
        </w:rPr>
        <w:t xml:space="preserve">mercado com as mesmas características. Portanto, a escolha deixa de ser baseada em questões subjetivas como o nível de ligação entre o pai e um determinado filho, e passa a ser realizada em função das características do profissional, </w:t>
      </w:r>
      <w:r>
        <w:rPr>
          <w:color w:val="231F20"/>
          <w:spacing w:val="-5"/>
        </w:rPr>
        <w:t xml:space="preserve">que </w:t>
      </w:r>
      <w:r>
        <w:rPr>
          <w:color w:val="231F20"/>
        </w:rPr>
        <w:t xml:space="preserve">vai ocupar uma determinada função. O controle patrimonial, portanto, passa para as mãos de uma empresa, a qual </w:t>
      </w:r>
      <w:r>
        <w:rPr>
          <w:color w:val="231F20"/>
          <w:spacing w:val="-4"/>
        </w:rPr>
        <w:t xml:space="preserve">tem </w:t>
      </w:r>
      <w:r>
        <w:rPr>
          <w:color w:val="231F20"/>
        </w:rPr>
        <w:t xml:space="preserve">regras mais rígidas no que tange a gestão do ativo fixo que foi transferido para essa, como a obrigação dos gestores </w:t>
      </w:r>
      <w:r>
        <w:rPr>
          <w:color w:val="231F20"/>
          <w:spacing w:val="-6"/>
        </w:rPr>
        <w:t xml:space="preserve">de </w:t>
      </w:r>
      <w:r>
        <w:rPr>
          <w:color w:val="231F20"/>
        </w:rPr>
        <w:t>apresentar relatórios de resultado aos sócios em períodos pré-determinados em contrato. Caso este profissional não cumpra com as obrigações do cargo, o mesmo pode ser substituído.</w:t>
      </w:r>
    </w:p>
    <w:p w:rsidR="00823DDA" w:rsidRDefault="00823DDA" w:rsidP="00891971">
      <w:pPr>
        <w:pStyle w:val="Corpodetexto"/>
        <w:jc w:val="both"/>
        <w:rPr>
          <w:color w:val="231F20"/>
        </w:rPr>
      </w:pPr>
    </w:p>
    <w:p w:rsidR="00E858B4" w:rsidRDefault="004E4363" w:rsidP="00891971">
      <w:pPr>
        <w:pStyle w:val="Corpodetexto"/>
        <w:jc w:val="both"/>
        <w:rPr>
          <w:color w:val="231F20"/>
        </w:rPr>
      </w:pPr>
      <w:r>
        <w:rPr>
          <w:color w:val="231F20"/>
        </w:rPr>
        <w:t xml:space="preserve">Doações com usufruto devem conter algumas cláusulas importantes que concorrem para a efetiva proteção do patrimônio. O usufruto vitalício dos patriarcas, em si, está em consonância com o artigo 1.394 do Código Civil, que menciona que “o usufrutuário tem direito à posse, uso, administração e percepção dos frutos” da empresa. </w:t>
      </w:r>
      <w:r>
        <w:rPr>
          <w:color w:val="231F20"/>
          <w:spacing w:val="-12"/>
        </w:rPr>
        <w:t xml:space="preserve">A </w:t>
      </w:r>
      <w:r>
        <w:rPr>
          <w:color w:val="231F20"/>
        </w:rPr>
        <w:t>cláusula da inalienabilidade, por sua vez, está prevista no artigo 1.911 do Código Civil, e implica na impenhorabilidade dos bens. Sua previsão vem dar efetividade à cláusula de inalienabilidade, uma vez que se os bens fossem penhorados, estes</w:t>
      </w:r>
      <w:r>
        <w:rPr>
          <w:color w:val="231F20"/>
          <w:spacing w:val="-27"/>
        </w:rPr>
        <w:t xml:space="preserve"> </w:t>
      </w:r>
      <w:r>
        <w:rPr>
          <w:color w:val="231F20"/>
        </w:rPr>
        <w:t>seriam,</w:t>
      </w:r>
      <w:r>
        <w:rPr>
          <w:color w:val="231F20"/>
          <w:spacing w:val="-26"/>
        </w:rPr>
        <w:t xml:space="preserve"> </w:t>
      </w:r>
      <w:r>
        <w:rPr>
          <w:color w:val="231F20"/>
        </w:rPr>
        <w:t>por</w:t>
      </w:r>
      <w:r>
        <w:rPr>
          <w:color w:val="231F20"/>
          <w:spacing w:val="-26"/>
        </w:rPr>
        <w:t xml:space="preserve"> </w:t>
      </w:r>
      <w:r>
        <w:rPr>
          <w:color w:val="231F20"/>
        </w:rPr>
        <w:t>conseguinte,</w:t>
      </w:r>
      <w:r>
        <w:rPr>
          <w:color w:val="231F20"/>
          <w:spacing w:val="-27"/>
        </w:rPr>
        <w:t xml:space="preserve"> </w:t>
      </w:r>
      <w:r>
        <w:rPr>
          <w:color w:val="231F20"/>
        </w:rPr>
        <w:t>expropriados</w:t>
      </w:r>
      <w:r>
        <w:rPr>
          <w:color w:val="231F20"/>
          <w:spacing w:val="-26"/>
        </w:rPr>
        <w:t xml:space="preserve"> </w:t>
      </w:r>
      <w:r>
        <w:rPr>
          <w:color w:val="231F20"/>
        </w:rPr>
        <w:t>do</w:t>
      </w:r>
      <w:r>
        <w:rPr>
          <w:color w:val="231F20"/>
          <w:spacing w:val="-26"/>
        </w:rPr>
        <w:t xml:space="preserve"> </w:t>
      </w:r>
      <w:r>
        <w:rPr>
          <w:color w:val="231F20"/>
        </w:rPr>
        <w:t>seu</w:t>
      </w:r>
      <w:r>
        <w:rPr>
          <w:color w:val="231F20"/>
          <w:spacing w:val="-27"/>
        </w:rPr>
        <w:t xml:space="preserve"> </w:t>
      </w:r>
      <w:r>
        <w:rPr>
          <w:color w:val="231F20"/>
        </w:rPr>
        <w:t xml:space="preserve">beneficiário. </w:t>
      </w:r>
    </w:p>
    <w:p w:rsidR="00E858B4" w:rsidRDefault="00E858B4" w:rsidP="00891971">
      <w:pPr>
        <w:pStyle w:val="Corpodetexto"/>
        <w:jc w:val="both"/>
        <w:rPr>
          <w:color w:val="231F20"/>
        </w:rPr>
      </w:pPr>
    </w:p>
    <w:p w:rsidR="004E4363" w:rsidRDefault="004E4363" w:rsidP="00891971">
      <w:pPr>
        <w:pStyle w:val="Corpodetexto"/>
        <w:jc w:val="both"/>
      </w:pPr>
      <w:r>
        <w:rPr>
          <w:color w:val="231F20"/>
        </w:rPr>
        <w:t>Outra cláusula importante é a incomunicabilidade, prevista nos artigos 1.668, 1.669 e 1.911 do Código Civil. Essas cláusulas têm como função não permitir a comunicabilidade dos direitos dos bens doados a terceiros, especificamente ao cônjuge de seu</w:t>
      </w:r>
      <w:r>
        <w:rPr>
          <w:color w:val="231F20"/>
          <w:spacing w:val="-2"/>
        </w:rPr>
        <w:t xml:space="preserve"> </w:t>
      </w:r>
      <w:r>
        <w:rPr>
          <w:color w:val="231F20"/>
        </w:rPr>
        <w:t>herdeiro.</w:t>
      </w:r>
    </w:p>
    <w:p w:rsidR="00E858B4" w:rsidRDefault="00E858B4" w:rsidP="00891971">
      <w:pPr>
        <w:pStyle w:val="Corpodetexto"/>
        <w:jc w:val="both"/>
        <w:rPr>
          <w:color w:val="231F20"/>
        </w:rPr>
      </w:pPr>
    </w:p>
    <w:p w:rsidR="004E4363" w:rsidRDefault="004E4363" w:rsidP="00891971">
      <w:pPr>
        <w:pStyle w:val="Corpodetexto"/>
        <w:jc w:val="both"/>
        <w:rPr>
          <w:color w:val="231F20"/>
        </w:rPr>
      </w:pPr>
      <w:r>
        <w:rPr>
          <w:color w:val="231F20"/>
        </w:rPr>
        <w:t xml:space="preserve">De forma análoga, mas em sentido contrário  ao  que  foi supracitado, os herdeiros que tenham bens não terão os mesmos diretamente envolvidos na atividade empresarial </w:t>
      </w:r>
      <w:r>
        <w:rPr>
          <w:color w:val="231F20"/>
          <w:spacing w:val="-8"/>
        </w:rPr>
        <w:t xml:space="preserve">da </w:t>
      </w:r>
      <w:r>
        <w:rPr>
          <w:color w:val="231F20"/>
        </w:rPr>
        <w:t xml:space="preserve">holding, o que reduz os riscos atinentes à afetação dos </w:t>
      </w:r>
      <w:r>
        <w:rPr>
          <w:color w:val="231F20"/>
          <w:spacing w:val="-3"/>
        </w:rPr>
        <w:t xml:space="preserve">bens </w:t>
      </w:r>
      <w:r w:rsidR="00BC4DF6">
        <w:rPr>
          <w:color w:val="231F20"/>
        </w:rPr>
        <w:t>privados</w:t>
      </w:r>
      <w:r>
        <w:rPr>
          <w:color w:val="231F20"/>
        </w:rPr>
        <w:t>.</w:t>
      </w:r>
    </w:p>
    <w:p w:rsidR="00A30AB2" w:rsidRDefault="00A30AB2" w:rsidP="00891971">
      <w:pPr>
        <w:pStyle w:val="Corpodetexto"/>
        <w:jc w:val="both"/>
        <w:rPr>
          <w:color w:val="231F20"/>
        </w:rPr>
      </w:pPr>
    </w:p>
    <w:p w:rsidR="004E4363" w:rsidRPr="00A30AB2" w:rsidRDefault="00A30AB2" w:rsidP="00A30AB2">
      <w:pPr>
        <w:pStyle w:val="Corpodetexto"/>
        <w:jc w:val="both"/>
        <w:rPr>
          <w:b/>
        </w:rPr>
      </w:pPr>
      <w:r w:rsidRPr="00A30AB2">
        <w:rPr>
          <w:b/>
          <w:color w:val="231F20"/>
        </w:rPr>
        <w:t xml:space="preserve">1.1 </w:t>
      </w:r>
      <w:r w:rsidR="004E4363" w:rsidRPr="00A30AB2">
        <w:rPr>
          <w:b/>
          <w:color w:val="231F20"/>
        </w:rPr>
        <w:t>Espécies de</w:t>
      </w:r>
      <w:r w:rsidR="004E4363" w:rsidRPr="00A30AB2">
        <w:rPr>
          <w:b/>
          <w:color w:val="231F20"/>
          <w:spacing w:val="-2"/>
        </w:rPr>
        <w:t xml:space="preserve"> </w:t>
      </w:r>
      <w:r w:rsidR="004E4363" w:rsidRPr="00A30AB2">
        <w:rPr>
          <w:b/>
          <w:color w:val="231F20"/>
        </w:rPr>
        <w:t>Holding</w:t>
      </w:r>
    </w:p>
    <w:p w:rsidR="00BB00D9" w:rsidRDefault="004E4363" w:rsidP="00891971">
      <w:pPr>
        <w:pStyle w:val="Corpodetexto"/>
        <w:jc w:val="both"/>
        <w:rPr>
          <w:color w:val="231F20"/>
        </w:rPr>
      </w:pPr>
      <w:r>
        <w:rPr>
          <w:color w:val="231F20"/>
        </w:rPr>
        <w:t xml:space="preserve">Existem duas espécies de holding: a </w:t>
      </w:r>
      <w:r>
        <w:rPr>
          <w:i/>
          <w:color w:val="231F20"/>
        </w:rPr>
        <w:t xml:space="preserve">holding </w:t>
      </w:r>
      <w:r>
        <w:rPr>
          <w:color w:val="231F20"/>
        </w:rPr>
        <w:t xml:space="preserve">pura e a </w:t>
      </w:r>
      <w:r>
        <w:rPr>
          <w:i/>
          <w:color w:val="231F20"/>
        </w:rPr>
        <w:t xml:space="preserve">holding </w:t>
      </w:r>
      <w:r w:rsidR="00BB00D9">
        <w:rPr>
          <w:color w:val="231F20"/>
        </w:rPr>
        <w:t>mista</w:t>
      </w:r>
      <w:r>
        <w:rPr>
          <w:color w:val="231F20"/>
        </w:rPr>
        <w:t>, a holding pura “tem como objetivo social e exclusivo a participação</w:t>
      </w:r>
      <w:r w:rsidR="00BB00D9">
        <w:rPr>
          <w:color w:val="231F20"/>
        </w:rPr>
        <w:t xml:space="preserve">    no capital de outras sociedades, isto é, uma empresa que   tem como atividade única manter quotas ou ações de </w:t>
      </w:r>
      <w:r w:rsidR="00BB00D9">
        <w:rPr>
          <w:color w:val="231F20"/>
          <w:spacing w:val="-3"/>
        </w:rPr>
        <w:t xml:space="preserve">outras </w:t>
      </w:r>
      <w:r w:rsidR="00BB00D9">
        <w:rPr>
          <w:color w:val="231F20"/>
        </w:rPr>
        <w:t xml:space="preserve">companhias”. A </w:t>
      </w:r>
      <w:r w:rsidR="00BB00D9">
        <w:rPr>
          <w:i/>
          <w:color w:val="231F20"/>
        </w:rPr>
        <w:t xml:space="preserve">holding </w:t>
      </w:r>
      <w:r w:rsidR="00BB00D9">
        <w:rPr>
          <w:color w:val="231F20"/>
        </w:rPr>
        <w:t xml:space="preserve">mista, por sua vez, tem como </w:t>
      </w:r>
      <w:r w:rsidR="00BB00D9">
        <w:rPr>
          <w:color w:val="231F20"/>
          <w:spacing w:val="-3"/>
        </w:rPr>
        <w:t xml:space="preserve">objeto </w:t>
      </w:r>
      <w:r w:rsidR="00BB00D9">
        <w:rPr>
          <w:color w:val="231F20"/>
        </w:rPr>
        <w:t xml:space="preserve">social não apenas a participação em outras empresas, </w:t>
      </w:r>
      <w:r w:rsidR="00BB00D9">
        <w:rPr>
          <w:color w:val="231F20"/>
          <w:spacing w:val="-4"/>
        </w:rPr>
        <w:t xml:space="preserve">mas </w:t>
      </w:r>
      <w:r w:rsidR="00BB00D9">
        <w:rPr>
          <w:color w:val="231F20"/>
        </w:rPr>
        <w:t xml:space="preserve">também prevê sobre o exercício de exploração de </w:t>
      </w:r>
      <w:r w:rsidR="00BB00D9">
        <w:rPr>
          <w:color w:val="231F20"/>
          <w:spacing w:val="-3"/>
        </w:rPr>
        <w:t xml:space="preserve">alguma </w:t>
      </w:r>
      <w:r w:rsidR="00BB00D9">
        <w:rPr>
          <w:color w:val="231F20"/>
        </w:rPr>
        <w:t>atividade econômica.</w:t>
      </w:r>
    </w:p>
    <w:p w:rsidR="00A30AB2" w:rsidRDefault="00A30AB2" w:rsidP="00891971">
      <w:pPr>
        <w:pStyle w:val="Corpodetexto"/>
        <w:jc w:val="both"/>
        <w:rPr>
          <w:color w:val="231F20"/>
        </w:rPr>
      </w:pPr>
    </w:p>
    <w:p w:rsidR="00BB00D9" w:rsidRDefault="004007A7" w:rsidP="00891971">
      <w:pPr>
        <w:pStyle w:val="Corpodetexto"/>
        <w:jc w:val="both"/>
        <w:rPr>
          <w:b/>
          <w:color w:val="231F20"/>
        </w:rPr>
      </w:pPr>
      <w:r w:rsidRPr="004007A7">
        <w:rPr>
          <w:b/>
          <w:color w:val="231F20"/>
        </w:rPr>
        <w:t xml:space="preserve">1.1.4 </w:t>
      </w:r>
      <w:r w:rsidR="00BB00D9" w:rsidRPr="004007A7">
        <w:rPr>
          <w:b/>
          <w:color w:val="231F20"/>
        </w:rPr>
        <w:t>Tipos Societários de uma</w:t>
      </w:r>
      <w:r w:rsidR="00BB00D9" w:rsidRPr="004007A7">
        <w:rPr>
          <w:b/>
          <w:color w:val="231F20"/>
          <w:spacing w:val="-5"/>
        </w:rPr>
        <w:t xml:space="preserve"> </w:t>
      </w:r>
      <w:r w:rsidR="00BB00D9" w:rsidRPr="004007A7">
        <w:rPr>
          <w:b/>
          <w:color w:val="231F20"/>
        </w:rPr>
        <w:t>Holding</w:t>
      </w:r>
    </w:p>
    <w:p w:rsidR="00BB00D9" w:rsidRDefault="00BB00D9" w:rsidP="00891971">
      <w:pPr>
        <w:pStyle w:val="Corpodetexto"/>
        <w:jc w:val="both"/>
      </w:pPr>
      <w:r>
        <w:rPr>
          <w:color w:val="231F20"/>
        </w:rPr>
        <w:t xml:space="preserve">De acordo com a legislação vigente, existem três </w:t>
      </w:r>
      <w:r>
        <w:rPr>
          <w:color w:val="231F20"/>
          <w:spacing w:val="-3"/>
        </w:rPr>
        <w:t xml:space="preserve">tipos </w:t>
      </w:r>
      <w:r>
        <w:rPr>
          <w:color w:val="231F20"/>
        </w:rPr>
        <w:t>societários que podem  ser  utilizados  no  caso  da  holding: a EIRELI (Empresa Individual com Responsabilidade Limitada), a Sociedade por Responsabilidade Limitada e a Sociedade</w:t>
      </w:r>
      <w:r>
        <w:rPr>
          <w:color w:val="231F20"/>
          <w:spacing w:val="-12"/>
        </w:rPr>
        <w:t xml:space="preserve"> </w:t>
      </w:r>
      <w:r>
        <w:rPr>
          <w:color w:val="231F20"/>
        </w:rPr>
        <w:t>Anônima.</w:t>
      </w:r>
    </w:p>
    <w:p w:rsidR="00823DDA" w:rsidRDefault="00823DDA" w:rsidP="00891971">
      <w:pPr>
        <w:pStyle w:val="Corpodetexto"/>
        <w:jc w:val="both"/>
        <w:rPr>
          <w:color w:val="231F20"/>
        </w:rPr>
      </w:pPr>
    </w:p>
    <w:p w:rsidR="00BB00D9" w:rsidRDefault="00BB00D9" w:rsidP="00891971">
      <w:pPr>
        <w:pStyle w:val="Corpodetexto"/>
        <w:jc w:val="both"/>
      </w:pPr>
      <w:r>
        <w:rPr>
          <w:color w:val="231F20"/>
        </w:rPr>
        <w:t>A EIRELI – Empresa Individual com Responsabilidade Limitada</w:t>
      </w:r>
      <w:r>
        <w:rPr>
          <w:color w:val="231F20"/>
          <w:spacing w:val="-13"/>
        </w:rPr>
        <w:t xml:space="preserve"> </w:t>
      </w:r>
      <w:r>
        <w:rPr>
          <w:color w:val="231F20"/>
        </w:rPr>
        <w:t>–</w:t>
      </w:r>
      <w:r>
        <w:rPr>
          <w:color w:val="231F20"/>
          <w:spacing w:val="-12"/>
        </w:rPr>
        <w:t xml:space="preserve"> </w:t>
      </w:r>
      <w:r>
        <w:rPr>
          <w:color w:val="231F20"/>
        </w:rPr>
        <w:t>que</w:t>
      </w:r>
      <w:r>
        <w:rPr>
          <w:color w:val="231F20"/>
          <w:spacing w:val="-12"/>
        </w:rPr>
        <w:t xml:space="preserve"> </w:t>
      </w:r>
      <w:r>
        <w:rPr>
          <w:color w:val="231F20"/>
        </w:rPr>
        <w:t>foi</w:t>
      </w:r>
      <w:r>
        <w:rPr>
          <w:color w:val="231F20"/>
          <w:spacing w:val="-12"/>
        </w:rPr>
        <w:t xml:space="preserve"> </w:t>
      </w:r>
      <w:r>
        <w:rPr>
          <w:color w:val="231F20"/>
        </w:rPr>
        <w:t>instituída</w:t>
      </w:r>
      <w:r>
        <w:rPr>
          <w:color w:val="231F20"/>
          <w:spacing w:val="-12"/>
        </w:rPr>
        <w:t xml:space="preserve"> </w:t>
      </w:r>
      <w:r>
        <w:rPr>
          <w:color w:val="231F20"/>
        </w:rPr>
        <w:t>e</w:t>
      </w:r>
      <w:r>
        <w:rPr>
          <w:color w:val="231F20"/>
          <w:spacing w:val="-12"/>
        </w:rPr>
        <w:t xml:space="preserve"> </w:t>
      </w:r>
      <w:r>
        <w:rPr>
          <w:color w:val="231F20"/>
        </w:rPr>
        <w:t>inserida</w:t>
      </w:r>
      <w:r>
        <w:rPr>
          <w:color w:val="231F20"/>
          <w:spacing w:val="-12"/>
        </w:rPr>
        <w:t xml:space="preserve"> </w:t>
      </w:r>
      <w:r>
        <w:rPr>
          <w:color w:val="231F20"/>
        </w:rPr>
        <w:t>no</w:t>
      </w:r>
      <w:r>
        <w:rPr>
          <w:color w:val="231F20"/>
          <w:spacing w:val="-13"/>
        </w:rPr>
        <w:t xml:space="preserve"> </w:t>
      </w:r>
      <w:r>
        <w:rPr>
          <w:color w:val="231F20"/>
        </w:rPr>
        <w:t>cenário</w:t>
      </w:r>
      <w:r>
        <w:rPr>
          <w:color w:val="231F20"/>
          <w:spacing w:val="-12"/>
        </w:rPr>
        <w:t xml:space="preserve"> </w:t>
      </w:r>
      <w:r>
        <w:rPr>
          <w:color w:val="231F20"/>
        </w:rPr>
        <w:t xml:space="preserve">empresarial, pela Lei nº 12.441/11, é um tipo societário, como o próprio nome diz, constituída por um único sócio. Foi criada para regulamentar a constituição de uma empresa com uma única pessoa titular da totalidade do capital social, o qual não pode ser inferior a 100 (cem) vezes o salário-mínimo vigente no país. Uma EIRELI </w:t>
      </w:r>
      <w:r w:rsidR="004007A7">
        <w:rPr>
          <w:color w:val="231F20"/>
        </w:rPr>
        <w:t xml:space="preserve">pode assumer o format de </w:t>
      </w:r>
      <w:r>
        <w:rPr>
          <w:color w:val="231F20"/>
        </w:rPr>
        <w:t xml:space="preserve">uma </w:t>
      </w:r>
      <w:r>
        <w:rPr>
          <w:i/>
          <w:color w:val="231F20"/>
        </w:rPr>
        <w:t>holding</w:t>
      </w:r>
      <w:r>
        <w:rPr>
          <w:color w:val="231F20"/>
        </w:rPr>
        <w:t>, uma vez</w:t>
      </w:r>
      <w:r>
        <w:rPr>
          <w:color w:val="231F20"/>
          <w:spacing w:val="-4"/>
        </w:rPr>
        <w:t xml:space="preserve"> </w:t>
      </w:r>
      <w:r>
        <w:rPr>
          <w:color w:val="231F20"/>
        </w:rPr>
        <w:t>que:</w:t>
      </w:r>
    </w:p>
    <w:p w:rsidR="00A30AB2" w:rsidRDefault="00A30AB2" w:rsidP="00891971">
      <w:pPr>
        <w:jc w:val="both"/>
        <w:rPr>
          <w:color w:val="231F20"/>
          <w:sz w:val="18"/>
        </w:rPr>
      </w:pPr>
    </w:p>
    <w:p w:rsidR="00BB00D9" w:rsidRDefault="00BB00D9" w:rsidP="00891971">
      <w:pPr>
        <w:jc w:val="both"/>
        <w:rPr>
          <w:sz w:val="18"/>
        </w:rPr>
      </w:pPr>
      <w:r>
        <w:rPr>
          <w:color w:val="231F20"/>
          <w:sz w:val="18"/>
        </w:rPr>
        <w:t xml:space="preserve">Embora a Lei 12.441/11 seja confusa em seu conteúdo, diversos de seus termos apontam para essa solução, a principiar pela referência a capital social (artigo 908-A, </w:t>
      </w:r>
      <w:r>
        <w:rPr>
          <w:i/>
          <w:color w:val="231F20"/>
          <w:sz w:val="18"/>
        </w:rPr>
        <w:t>caput</w:t>
      </w:r>
      <w:r>
        <w:rPr>
          <w:color w:val="231F20"/>
          <w:sz w:val="18"/>
        </w:rPr>
        <w:t xml:space="preserve">, do Código Civil) que é próprio das sociedades, e não a capital registrado, que é expressão mais ampla e, </w:t>
      </w:r>
      <w:r>
        <w:rPr>
          <w:color w:val="231F20"/>
          <w:spacing w:val="-3"/>
          <w:sz w:val="18"/>
        </w:rPr>
        <w:t xml:space="preserve">assim, </w:t>
      </w:r>
      <w:r>
        <w:rPr>
          <w:color w:val="231F20"/>
          <w:sz w:val="18"/>
        </w:rPr>
        <w:t xml:space="preserve">adequada para uma pessoa jurídica </w:t>
      </w:r>
      <w:r>
        <w:rPr>
          <w:i/>
          <w:color w:val="231F20"/>
          <w:sz w:val="18"/>
        </w:rPr>
        <w:t>sui generis</w:t>
      </w:r>
      <w:r>
        <w:rPr>
          <w:color w:val="231F20"/>
          <w:sz w:val="18"/>
        </w:rPr>
        <w:t xml:space="preserve">. Não é só; o § 3º do mesmo artigo [...] reconhece que a </w:t>
      </w:r>
      <w:r w:rsidR="004007A7">
        <w:rPr>
          <w:color w:val="231F20"/>
          <w:sz w:val="18"/>
        </w:rPr>
        <w:t>#</w:t>
      </w:r>
      <w:r>
        <w:rPr>
          <w:color w:val="231F20"/>
          <w:sz w:val="18"/>
        </w:rPr>
        <w:t xml:space="preserve"> pode resultar da concentração de quotas de </w:t>
      </w:r>
      <w:r>
        <w:rPr>
          <w:color w:val="231F20"/>
          <w:spacing w:val="-4"/>
          <w:sz w:val="18"/>
        </w:rPr>
        <w:t xml:space="preserve">uma </w:t>
      </w:r>
      <w:r>
        <w:rPr>
          <w:color w:val="231F20"/>
          <w:sz w:val="18"/>
        </w:rPr>
        <w:t>sociedade limitada nas mãos de um único sócio. Por fim, o § 6º, segundo o qual se aplicam à empresa individual de responsabilidade limitada, no que couber, as regras previstas para as sociedades</w:t>
      </w:r>
      <w:r>
        <w:rPr>
          <w:color w:val="231F20"/>
          <w:spacing w:val="-2"/>
          <w:sz w:val="18"/>
        </w:rPr>
        <w:t xml:space="preserve"> </w:t>
      </w:r>
      <w:r>
        <w:rPr>
          <w:color w:val="231F20"/>
          <w:sz w:val="18"/>
        </w:rPr>
        <w:t>limitadas.</w:t>
      </w:r>
    </w:p>
    <w:p w:rsidR="00A30AB2" w:rsidRDefault="00A30AB2" w:rsidP="00891971">
      <w:pPr>
        <w:pStyle w:val="Corpodetexto"/>
        <w:jc w:val="both"/>
        <w:rPr>
          <w:color w:val="231F20"/>
        </w:rPr>
      </w:pPr>
    </w:p>
    <w:p w:rsidR="00BB00D9" w:rsidRDefault="00BB00D9" w:rsidP="00891971">
      <w:pPr>
        <w:pStyle w:val="Corpodetexto"/>
        <w:jc w:val="both"/>
      </w:pPr>
      <w:r>
        <w:rPr>
          <w:color w:val="231F20"/>
        </w:rPr>
        <w:t xml:space="preserve">A Sociedade por Responsabilidade Limitada é um tipo de sociedade, que deve ser constituída por mais de uma pessoa, seu Capital deve ser dividido em quotas, cada sócio deve subscrever uma determinada quantidade dessas cotas, e a responsabilidade de cada sócio deve ser restrita ao valor das suas quotas. No entanto, caso um sócio subscreva, mas não integralize suas quotas, todos os sócios devem </w:t>
      </w:r>
      <w:r>
        <w:rPr>
          <w:color w:val="231F20"/>
        </w:rPr>
        <w:lastRenderedPageBreak/>
        <w:t>responder solidariamente pela integralização do capital social, se tornando, assim, responsáveis pela importância faltante perante a sociedade e terceiros, conforme rege o artigo 1.052 do Código Civil. Além disso, uma</w:t>
      </w:r>
      <w:r>
        <w:rPr>
          <w:color w:val="231F20"/>
          <w:spacing w:val="-29"/>
        </w:rPr>
        <w:t xml:space="preserve"> </w:t>
      </w:r>
      <w:r>
        <w:rPr>
          <w:color w:val="231F20"/>
        </w:rPr>
        <w:t xml:space="preserve">das cláusulas do contrato social de uma sociedade limitada deve indicar a responsabilidade de administrador para um ou </w:t>
      </w:r>
      <w:r>
        <w:rPr>
          <w:color w:val="231F20"/>
          <w:spacing w:val="-3"/>
        </w:rPr>
        <w:t xml:space="preserve">mais </w:t>
      </w:r>
      <w:r>
        <w:rPr>
          <w:color w:val="231F20"/>
        </w:rPr>
        <w:t>sócios.</w:t>
      </w:r>
    </w:p>
    <w:p w:rsidR="004007A7" w:rsidRDefault="004007A7" w:rsidP="00891971">
      <w:pPr>
        <w:pStyle w:val="Corpodetexto"/>
        <w:jc w:val="both"/>
        <w:rPr>
          <w:color w:val="231F20"/>
        </w:rPr>
      </w:pPr>
    </w:p>
    <w:p w:rsidR="004007A7" w:rsidRDefault="00BB00D9" w:rsidP="00891971">
      <w:pPr>
        <w:pStyle w:val="Corpodetexto"/>
        <w:jc w:val="both"/>
        <w:rPr>
          <w:color w:val="231F20"/>
          <w:spacing w:val="24"/>
        </w:rPr>
      </w:pPr>
      <w:r>
        <w:rPr>
          <w:color w:val="231F20"/>
        </w:rPr>
        <w:t>Sociedades empresariais podem se distinguir entre sociedade de pessoas e sociedade de capital. No caso das sociedades limitadas, o tipo preponderante é a sociedade de pessoas na qual se sobressaem</w:t>
      </w:r>
      <w:r w:rsidR="004007A7">
        <w:rPr>
          <w:color w:val="231F20"/>
        </w:rPr>
        <w:t xml:space="preserve"> os atributos de cada sócio, </w:t>
      </w:r>
      <w:r>
        <w:rPr>
          <w:color w:val="231F20"/>
        </w:rPr>
        <w:t xml:space="preserve">as afinidades pessoais e a mútua confiança das pessoas </w:t>
      </w:r>
      <w:r>
        <w:rPr>
          <w:color w:val="231F20"/>
          <w:spacing w:val="-6"/>
        </w:rPr>
        <w:t xml:space="preserve">que   </w:t>
      </w:r>
      <w:r>
        <w:rPr>
          <w:color w:val="231F20"/>
        </w:rPr>
        <w:t>a</w:t>
      </w:r>
      <w:r>
        <w:rPr>
          <w:color w:val="231F20"/>
          <w:spacing w:val="24"/>
        </w:rPr>
        <w:t xml:space="preserve"> </w:t>
      </w:r>
      <w:r>
        <w:rPr>
          <w:color w:val="231F20"/>
        </w:rPr>
        <w:t>compõe.</w:t>
      </w:r>
      <w:r>
        <w:rPr>
          <w:color w:val="231F20"/>
          <w:spacing w:val="24"/>
        </w:rPr>
        <w:t xml:space="preserve"> </w:t>
      </w:r>
    </w:p>
    <w:p w:rsidR="00823DDA" w:rsidRDefault="00823DDA" w:rsidP="00891971">
      <w:pPr>
        <w:pStyle w:val="Corpodetexto"/>
        <w:jc w:val="both"/>
        <w:rPr>
          <w:color w:val="231F20"/>
          <w:spacing w:val="24"/>
        </w:rPr>
      </w:pPr>
    </w:p>
    <w:p w:rsidR="004007A7" w:rsidRDefault="004007A7" w:rsidP="00891971">
      <w:pPr>
        <w:pStyle w:val="Corpodetexto"/>
        <w:jc w:val="both"/>
      </w:pPr>
      <w:r>
        <w:rPr>
          <w:color w:val="231F20"/>
          <w:spacing w:val="24"/>
        </w:rPr>
        <w:t>C</w:t>
      </w:r>
      <w:r w:rsidR="00BB00D9">
        <w:rPr>
          <w:color w:val="231F20"/>
        </w:rPr>
        <w:t>om</w:t>
      </w:r>
      <w:r>
        <w:t xml:space="preserve"> </w:t>
      </w:r>
      <w:r>
        <w:rPr>
          <w:color w:val="231F20"/>
        </w:rPr>
        <w:t>esse</w:t>
      </w:r>
      <w:r>
        <w:rPr>
          <w:color w:val="231F20"/>
          <w:spacing w:val="-11"/>
        </w:rPr>
        <w:t xml:space="preserve"> </w:t>
      </w:r>
      <w:r>
        <w:rPr>
          <w:color w:val="231F20"/>
        </w:rPr>
        <w:t>conceito</w:t>
      </w:r>
      <w:r>
        <w:rPr>
          <w:color w:val="231F20"/>
          <w:spacing w:val="-11"/>
        </w:rPr>
        <w:t xml:space="preserve"> </w:t>
      </w:r>
      <w:r>
        <w:rPr>
          <w:color w:val="231F20"/>
        </w:rPr>
        <w:t>surge</w:t>
      </w:r>
      <w:r>
        <w:rPr>
          <w:color w:val="231F20"/>
          <w:spacing w:val="-10"/>
        </w:rPr>
        <w:t xml:space="preserve"> </w:t>
      </w:r>
      <w:r>
        <w:rPr>
          <w:color w:val="231F20"/>
        </w:rPr>
        <w:t>a</w:t>
      </w:r>
      <w:r>
        <w:rPr>
          <w:color w:val="231F20"/>
          <w:spacing w:val="-11"/>
        </w:rPr>
        <w:t xml:space="preserve"> </w:t>
      </w:r>
      <w:r>
        <w:rPr>
          <w:color w:val="231F20"/>
        </w:rPr>
        <w:t>“</w:t>
      </w:r>
      <w:r>
        <w:rPr>
          <w:i/>
          <w:color w:val="231F20"/>
        </w:rPr>
        <w:t>affectio</w:t>
      </w:r>
      <w:r>
        <w:rPr>
          <w:i/>
          <w:color w:val="231F20"/>
          <w:spacing w:val="-10"/>
        </w:rPr>
        <w:t xml:space="preserve"> </w:t>
      </w:r>
      <w:r>
        <w:rPr>
          <w:i/>
          <w:color w:val="231F20"/>
        </w:rPr>
        <w:t>societatis</w:t>
      </w:r>
      <w:r>
        <w:rPr>
          <w:color w:val="231F20"/>
        </w:rPr>
        <w:t>,</w:t>
      </w:r>
      <w:r>
        <w:rPr>
          <w:color w:val="231F20"/>
          <w:spacing w:val="-11"/>
        </w:rPr>
        <w:t xml:space="preserve"> </w:t>
      </w:r>
      <w:r>
        <w:rPr>
          <w:color w:val="231F20"/>
        </w:rPr>
        <w:t>que</w:t>
      </w:r>
      <w:r>
        <w:rPr>
          <w:color w:val="231F20"/>
          <w:spacing w:val="-11"/>
        </w:rPr>
        <w:t xml:space="preserve"> </w:t>
      </w:r>
      <w:r>
        <w:rPr>
          <w:color w:val="231F20"/>
        </w:rPr>
        <w:t>se</w:t>
      </w:r>
      <w:r>
        <w:rPr>
          <w:color w:val="231F20"/>
          <w:spacing w:val="-10"/>
        </w:rPr>
        <w:t xml:space="preserve"> </w:t>
      </w:r>
      <w:r>
        <w:rPr>
          <w:color w:val="231F20"/>
        </w:rPr>
        <w:t>define</w:t>
      </w:r>
      <w:r>
        <w:rPr>
          <w:color w:val="231F20"/>
          <w:spacing w:val="-11"/>
        </w:rPr>
        <w:t xml:space="preserve"> </w:t>
      </w:r>
      <w:r>
        <w:rPr>
          <w:color w:val="231F20"/>
        </w:rPr>
        <w:t>como</w:t>
      </w:r>
      <w:r>
        <w:rPr>
          <w:color w:val="231F20"/>
          <w:spacing w:val="-10"/>
        </w:rPr>
        <w:t xml:space="preserve"> </w:t>
      </w:r>
      <w:r>
        <w:rPr>
          <w:color w:val="231F20"/>
        </w:rPr>
        <w:t>a vontade de união entre os sócios para constituir e manter</w:t>
      </w:r>
      <w:r>
        <w:rPr>
          <w:color w:val="231F20"/>
          <w:spacing w:val="-15"/>
        </w:rPr>
        <w:t xml:space="preserve"> </w:t>
      </w:r>
      <w:r>
        <w:rPr>
          <w:color w:val="231F20"/>
        </w:rPr>
        <w:t xml:space="preserve">uma sociedade, obedecendo a seu objeto social e sempre visando ao sucesso”. Trata-se do fato dos sócios compartilharem interesses idênticos e colaborarem, conscientemente, com </w:t>
      </w:r>
      <w:r>
        <w:rPr>
          <w:color w:val="231F20"/>
          <w:spacing w:val="-11"/>
        </w:rPr>
        <w:t xml:space="preserve">o </w:t>
      </w:r>
      <w:r>
        <w:rPr>
          <w:color w:val="231F20"/>
        </w:rPr>
        <w:t>atendimento</w:t>
      </w:r>
      <w:r>
        <w:rPr>
          <w:color w:val="231F20"/>
          <w:spacing w:val="-16"/>
        </w:rPr>
        <w:t xml:space="preserve"> </w:t>
      </w:r>
      <w:r>
        <w:rPr>
          <w:color w:val="231F20"/>
        </w:rPr>
        <w:t>do</w:t>
      </w:r>
      <w:r>
        <w:rPr>
          <w:color w:val="231F20"/>
          <w:spacing w:val="-15"/>
        </w:rPr>
        <w:t xml:space="preserve"> </w:t>
      </w:r>
      <w:r>
        <w:rPr>
          <w:color w:val="231F20"/>
        </w:rPr>
        <w:t>objeto</w:t>
      </w:r>
      <w:r>
        <w:rPr>
          <w:color w:val="231F20"/>
          <w:spacing w:val="-15"/>
        </w:rPr>
        <w:t xml:space="preserve"> </w:t>
      </w:r>
      <w:r>
        <w:rPr>
          <w:color w:val="231F20"/>
        </w:rPr>
        <w:t>social</w:t>
      </w:r>
      <w:r>
        <w:rPr>
          <w:color w:val="231F20"/>
          <w:spacing w:val="-16"/>
        </w:rPr>
        <w:t xml:space="preserve"> </w:t>
      </w:r>
      <w:r>
        <w:rPr>
          <w:color w:val="231F20"/>
        </w:rPr>
        <w:t>da</w:t>
      </w:r>
      <w:r>
        <w:rPr>
          <w:color w:val="231F20"/>
          <w:spacing w:val="-15"/>
        </w:rPr>
        <w:t xml:space="preserve"> </w:t>
      </w:r>
      <w:r>
        <w:rPr>
          <w:color w:val="231F20"/>
        </w:rPr>
        <w:t>sociedade.</w:t>
      </w:r>
      <w:r>
        <w:rPr>
          <w:color w:val="231F20"/>
          <w:spacing w:val="-18"/>
        </w:rPr>
        <w:t xml:space="preserve"> </w:t>
      </w:r>
      <w:r>
        <w:rPr>
          <w:color w:val="231F20"/>
          <w:spacing w:val="-3"/>
        </w:rPr>
        <w:t>Todos</w:t>
      </w:r>
      <w:r>
        <w:rPr>
          <w:color w:val="231F20"/>
          <w:spacing w:val="-16"/>
        </w:rPr>
        <w:t xml:space="preserve"> </w:t>
      </w:r>
      <w:r>
        <w:rPr>
          <w:color w:val="231F20"/>
        </w:rPr>
        <w:t>os</w:t>
      </w:r>
      <w:r>
        <w:rPr>
          <w:color w:val="231F20"/>
          <w:spacing w:val="-15"/>
        </w:rPr>
        <w:t xml:space="preserve"> </w:t>
      </w:r>
      <w:r>
        <w:rPr>
          <w:color w:val="231F20"/>
        </w:rPr>
        <w:t>atos</w:t>
      </w:r>
      <w:r>
        <w:rPr>
          <w:color w:val="231F20"/>
          <w:spacing w:val="-15"/>
        </w:rPr>
        <w:t xml:space="preserve"> </w:t>
      </w:r>
      <w:r>
        <w:rPr>
          <w:color w:val="231F20"/>
        </w:rPr>
        <w:t>desse tipo societário devem ser arquivados na Junta Comercial e, uma</w:t>
      </w:r>
      <w:r>
        <w:rPr>
          <w:color w:val="231F20"/>
          <w:spacing w:val="-6"/>
        </w:rPr>
        <w:t xml:space="preserve"> </w:t>
      </w:r>
      <w:r>
        <w:rPr>
          <w:color w:val="231F20"/>
        </w:rPr>
        <w:t>vez</w:t>
      </w:r>
      <w:r>
        <w:rPr>
          <w:color w:val="231F20"/>
          <w:spacing w:val="-6"/>
        </w:rPr>
        <w:t xml:space="preserve"> </w:t>
      </w:r>
      <w:r>
        <w:rPr>
          <w:color w:val="231F20"/>
        </w:rPr>
        <w:t>integralizado</w:t>
      </w:r>
      <w:r>
        <w:rPr>
          <w:color w:val="231F20"/>
          <w:spacing w:val="-5"/>
        </w:rPr>
        <w:t xml:space="preserve"> </w:t>
      </w:r>
      <w:r>
        <w:rPr>
          <w:color w:val="231F20"/>
        </w:rPr>
        <w:t>todo</w:t>
      </w:r>
      <w:r>
        <w:rPr>
          <w:color w:val="231F20"/>
          <w:spacing w:val="-6"/>
        </w:rPr>
        <w:t xml:space="preserve"> </w:t>
      </w:r>
      <w:r>
        <w:rPr>
          <w:color w:val="231F20"/>
        </w:rPr>
        <w:t>o</w:t>
      </w:r>
      <w:r>
        <w:rPr>
          <w:color w:val="231F20"/>
          <w:spacing w:val="-6"/>
        </w:rPr>
        <w:t xml:space="preserve"> </w:t>
      </w:r>
      <w:r>
        <w:rPr>
          <w:color w:val="231F20"/>
        </w:rPr>
        <w:t>capital,</w:t>
      </w:r>
      <w:r>
        <w:rPr>
          <w:color w:val="231F20"/>
          <w:spacing w:val="-5"/>
        </w:rPr>
        <w:t xml:space="preserve"> </w:t>
      </w:r>
      <w:r>
        <w:rPr>
          <w:color w:val="231F20"/>
        </w:rPr>
        <w:t>nenhum</w:t>
      </w:r>
      <w:r>
        <w:rPr>
          <w:color w:val="231F20"/>
          <w:spacing w:val="-6"/>
        </w:rPr>
        <w:t xml:space="preserve"> </w:t>
      </w:r>
      <w:r>
        <w:rPr>
          <w:color w:val="231F20"/>
        </w:rPr>
        <w:t>dos</w:t>
      </w:r>
      <w:r>
        <w:rPr>
          <w:color w:val="231F20"/>
          <w:spacing w:val="-6"/>
        </w:rPr>
        <w:t xml:space="preserve"> </w:t>
      </w:r>
      <w:r>
        <w:rPr>
          <w:color w:val="231F20"/>
        </w:rPr>
        <w:t>sócios</w:t>
      </w:r>
      <w:r>
        <w:rPr>
          <w:color w:val="231F20"/>
          <w:spacing w:val="-5"/>
        </w:rPr>
        <w:t xml:space="preserve"> </w:t>
      </w:r>
      <w:r>
        <w:rPr>
          <w:color w:val="231F20"/>
        </w:rPr>
        <w:t>pode ser</w:t>
      </w:r>
      <w:r>
        <w:rPr>
          <w:color w:val="231F20"/>
          <w:spacing w:val="-8"/>
        </w:rPr>
        <w:t xml:space="preserve"> </w:t>
      </w:r>
      <w:r>
        <w:rPr>
          <w:color w:val="231F20"/>
        </w:rPr>
        <w:t>mais</w:t>
      </w:r>
      <w:r>
        <w:rPr>
          <w:color w:val="231F20"/>
          <w:spacing w:val="-6"/>
        </w:rPr>
        <w:t xml:space="preserve"> </w:t>
      </w:r>
      <w:r>
        <w:rPr>
          <w:color w:val="231F20"/>
        </w:rPr>
        <w:t>chamado</w:t>
      </w:r>
      <w:r>
        <w:rPr>
          <w:color w:val="231F20"/>
          <w:spacing w:val="-7"/>
        </w:rPr>
        <w:t xml:space="preserve"> </w:t>
      </w:r>
      <w:r>
        <w:rPr>
          <w:color w:val="231F20"/>
        </w:rPr>
        <w:t>a</w:t>
      </w:r>
      <w:r>
        <w:rPr>
          <w:color w:val="231F20"/>
          <w:spacing w:val="-6"/>
        </w:rPr>
        <w:t xml:space="preserve"> </w:t>
      </w:r>
      <w:r>
        <w:rPr>
          <w:color w:val="231F20"/>
        </w:rPr>
        <w:t>responder</w:t>
      </w:r>
      <w:r>
        <w:rPr>
          <w:color w:val="231F20"/>
          <w:spacing w:val="-6"/>
        </w:rPr>
        <w:t xml:space="preserve"> </w:t>
      </w:r>
      <w:r>
        <w:rPr>
          <w:color w:val="231F20"/>
        </w:rPr>
        <w:t>pelas</w:t>
      </w:r>
      <w:r>
        <w:rPr>
          <w:color w:val="231F20"/>
          <w:spacing w:val="-7"/>
        </w:rPr>
        <w:t xml:space="preserve"> </w:t>
      </w:r>
      <w:r>
        <w:rPr>
          <w:color w:val="231F20"/>
        </w:rPr>
        <w:t>dívidas</w:t>
      </w:r>
      <w:r>
        <w:rPr>
          <w:color w:val="231F20"/>
          <w:spacing w:val="-7"/>
        </w:rPr>
        <w:t xml:space="preserve"> </w:t>
      </w:r>
      <w:r>
        <w:rPr>
          <w:color w:val="231F20"/>
        </w:rPr>
        <w:t>da</w:t>
      </w:r>
      <w:r>
        <w:rPr>
          <w:color w:val="231F20"/>
          <w:spacing w:val="-6"/>
        </w:rPr>
        <w:t xml:space="preserve"> </w:t>
      </w:r>
      <w:r>
        <w:rPr>
          <w:color w:val="231F20"/>
        </w:rPr>
        <w:t>sociedade</w:t>
      </w:r>
      <w:r>
        <w:rPr>
          <w:color w:val="231F20"/>
          <w:spacing w:val="-7"/>
        </w:rPr>
        <w:t xml:space="preserve"> </w:t>
      </w:r>
      <w:r>
        <w:rPr>
          <w:color w:val="231F20"/>
        </w:rPr>
        <w:t>com seus bens particulares, uma vez que a responsabilidade se torna limitada ao capital integralizado.</w:t>
      </w:r>
    </w:p>
    <w:p w:rsidR="004007A7" w:rsidRDefault="004007A7" w:rsidP="00891971">
      <w:pPr>
        <w:pStyle w:val="Corpodetexto"/>
        <w:jc w:val="both"/>
        <w:rPr>
          <w:color w:val="231F20"/>
        </w:rPr>
      </w:pPr>
    </w:p>
    <w:p w:rsidR="004007A7" w:rsidRDefault="004007A7" w:rsidP="00891971">
      <w:pPr>
        <w:pStyle w:val="Corpodetexto"/>
        <w:jc w:val="both"/>
      </w:pPr>
      <w:r>
        <w:rPr>
          <w:color w:val="231F20"/>
        </w:rPr>
        <w:t xml:space="preserve">A Sociedade Anônima, que é disciplinada pela Lei nº 6.404/1976, tem seu capital dividido em ações de livre negociação, pode ser fechada ou aberta e </w:t>
      </w:r>
      <w:r>
        <w:rPr>
          <w:color w:val="231F20"/>
          <w:spacing w:val="-11"/>
        </w:rPr>
        <w:t xml:space="preserve">a </w:t>
      </w:r>
      <w:r>
        <w:rPr>
          <w:color w:val="231F20"/>
        </w:rPr>
        <w:t xml:space="preserve">responsabilidade dos acionistas é restrita ao valor das ações em sua propriedade. Conforme observado supra, sociedades empresariais podem se distinguir entre sociedade de pessoas e sociedade de capital. No caso das sociedades anônimas, o tipo preponderante é a sociedade de capital, uma vez que um leque maior de investidores podem adquirir lotes de ações da empresa, sem ter qualquer participação na operação </w:t>
      </w:r>
      <w:r>
        <w:rPr>
          <w:color w:val="231F20"/>
          <w:spacing w:val="-6"/>
        </w:rPr>
        <w:t xml:space="preserve">da </w:t>
      </w:r>
      <w:r>
        <w:rPr>
          <w:color w:val="231F20"/>
        </w:rPr>
        <w:t>mesma. Esse tipo societário é constituído com base em um estatuto social, o qual deve ser registrado na Junta Comercial de sua</w:t>
      </w:r>
      <w:r>
        <w:rPr>
          <w:color w:val="231F20"/>
          <w:spacing w:val="-2"/>
        </w:rPr>
        <w:t xml:space="preserve"> </w:t>
      </w:r>
      <w:r>
        <w:rPr>
          <w:color w:val="231F20"/>
        </w:rPr>
        <w:t>sede.</w:t>
      </w:r>
    </w:p>
    <w:p w:rsidR="004007A7" w:rsidRDefault="004007A7" w:rsidP="00891971">
      <w:pPr>
        <w:pStyle w:val="Corpodetexto"/>
        <w:jc w:val="both"/>
        <w:rPr>
          <w:color w:val="231F20"/>
        </w:rPr>
      </w:pPr>
    </w:p>
    <w:p w:rsidR="004007A7" w:rsidRDefault="004007A7" w:rsidP="00891971">
      <w:pPr>
        <w:pStyle w:val="Corpodetexto"/>
        <w:jc w:val="both"/>
        <w:rPr>
          <w:color w:val="231F20"/>
        </w:rPr>
      </w:pPr>
      <w:r>
        <w:rPr>
          <w:color w:val="231F20"/>
        </w:rPr>
        <w:t>Esse tipo de sociedade deve possuir três órgãos:</w:t>
      </w:r>
      <w:r>
        <w:rPr>
          <w:color w:val="231F20"/>
          <w:spacing w:val="-28"/>
        </w:rPr>
        <w:t xml:space="preserve"> </w:t>
      </w:r>
      <w:r>
        <w:rPr>
          <w:color w:val="231F20"/>
        </w:rPr>
        <w:t>Conselho Fiscal, Assembleia Geral e Diretoria. São nas assembleias gerais</w:t>
      </w:r>
      <w:r>
        <w:rPr>
          <w:color w:val="231F20"/>
          <w:spacing w:val="-4"/>
        </w:rPr>
        <w:t xml:space="preserve"> </w:t>
      </w:r>
      <w:r>
        <w:rPr>
          <w:color w:val="231F20"/>
        </w:rPr>
        <w:t>que</w:t>
      </w:r>
      <w:r>
        <w:rPr>
          <w:color w:val="231F20"/>
          <w:spacing w:val="-4"/>
        </w:rPr>
        <w:t xml:space="preserve"> </w:t>
      </w:r>
      <w:r>
        <w:rPr>
          <w:color w:val="231F20"/>
        </w:rPr>
        <w:t>as</w:t>
      </w:r>
      <w:r>
        <w:rPr>
          <w:color w:val="231F20"/>
          <w:spacing w:val="-4"/>
        </w:rPr>
        <w:t xml:space="preserve"> </w:t>
      </w:r>
      <w:r>
        <w:rPr>
          <w:color w:val="231F20"/>
        </w:rPr>
        <w:t>decisões</w:t>
      </w:r>
      <w:r>
        <w:rPr>
          <w:color w:val="231F20"/>
          <w:spacing w:val="-4"/>
        </w:rPr>
        <w:t xml:space="preserve"> </w:t>
      </w:r>
      <w:r>
        <w:rPr>
          <w:color w:val="231F20"/>
        </w:rPr>
        <w:t>que</w:t>
      </w:r>
      <w:r>
        <w:rPr>
          <w:color w:val="231F20"/>
          <w:spacing w:val="-4"/>
        </w:rPr>
        <w:t xml:space="preserve"> </w:t>
      </w:r>
      <w:r>
        <w:rPr>
          <w:color w:val="231F20"/>
        </w:rPr>
        <w:t>vão</w:t>
      </w:r>
      <w:r>
        <w:rPr>
          <w:color w:val="231F20"/>
          <w:spacing w:val="-4"/>
        </w:rPr>
        <w:t xml:space="preserve"> </w:t>
      </w:r>
      <w:r>
        <w:rPr>
          <w:color w:val="231F20"/>
        </w:rPr>
        <w:t>decidir</w:t>
      </w:r>
      <w:r>
        <w:rPr>
          <w:color w:val="231F20"/>
          <w:spacing w:val="-4"/>
        </w:rPr>
        <w:t xml:space="preserve"> </w:t>
      </w:r>
      <w:r>
        <w:rPr>
          <w:color w:val="231F20"/>
        </w:rPr>
        <w:t>os</w:t>
      </w:r>
      <w:r>
        <w:rPr>
          <w:color w:val="231F20"/>
          <w:spacing w:val="-4"/>
        </w:rPr>
        <w:t xml:space="preserve"> </w:t>
      </w:r>
      <w:r>
        <w:rPr>
          <w:color w:val="231F20"/>
        </w:rPr>
        <w:t>rumos</w:t>
      </w:r>
      <w:r>
        <w:rPr>
          <w:color w:val="231F20"/>
          <w:spacing w:val="-4"/>
        </w:rPr>
        <w:t xml:space="preserve"> </w:t>
      </w:r>
      <w:r>
        <w:rPr>
          <w:color w:val="231F20"/>
        </w:rPr>
        <w:t>de</w:t>
      </w:r>
      <w:r>
        <w:rPr>
          <w:color w:val="231F20"/>
          <w:spacing w:val="-4"/>
        </w:rPr>
        <w:t xml:space="preserve"> </w:t>
      </w:r>
      <w:r>
        <w:rPr>
          <w:color w:val="231F20"/>
        </w:rPr>
        <w:t>atuação</w:t>
      </w:r>
      <w:r>
        <w:rPr>
          <w:color w:val="231F20"/>
          <w:spacing w:val="-4"/>
        </w:rPr>
        <w:t xml:space="preserve"> </w:t>
      </w:r>
      <w:r>
        <w:rPr>
          <w:color w:val="231F20"/>
        </w:rPr>
        <w:t>da empresa são tomadas. A Assembleia Geral tem poderes para decidir todos os negócios relativos ao objeto da companhia e tomar as resoluções que julgar convenientes para sua defesa</w:t>
      </w:r>
      <w:r>
        <w:rPr>
          <w:color w:val="231F20"/>
          <w:spacing w:val="-20"/>
        </w:rPr>
        <w:t xml:space="preserve"> </w:t>
      </w:r>
      <w:r>
        <w:rPr>
          <w:color w:val="231F20"/>
        </w:rPr>
        <w:t xml:space="preserve">e desenvolvimento. Sua operação é normalmente realizada </w:t>
      </w:r>
      <w:r>
        <w:rPr>
          <w:color w:val="231F20"/>
          <w:spacing w:val="-4"/>
        </w:rPr>
        <w:t xml:space="preserve">por </w:t>
      </w:r>
      <w:r>
        <w:rPr>
          <w:color w:val="231F20"/>
        </w:rPr>
        <w:t xml:space="preserve">profissionais de mercado, os quais assumem como diretores e tem a responsabilidade de fazê-lo com a devida eficácia </w:t>
      </w:r>
      <w:r>
        <w:rPr>
          <w:color w:val="231F20"/>
          <w:spacing w:val="-13"/>
        </w:rPr>
        <w:t xml:space="preserve">e </w:t>
      </w:r>
      <w:r>
        <w:rPr>
          <w:color w:val="231F20"/>
        </w:rPr>
        <w:t>ética. Os custos de administração são, naturalmente, mais elevados,</w:t>
      </w:r>
      <w:r>
        <w:rPr>
          <w:color w:val="231F20"/>
          <w:spacing w:val="-12"/>
        </w:rPr>
        <w:t xml:space="preserve"> </w:t>
      </w:r>
      <w:r>
        <w:rPr>
          <w:color w:val="231F20"/>
        </w:rPr>
        <w:t>mas</w:t>
      </w:r>
      <w:r>
        <w:rPr>
          <w:color w:val="231F20"/>
          <w:spacing w:val="-11"/>
        </w:rPr>
        <w:t xml:space="preserve"> </w:t>
      </w:r>
      <w:r>
        <w:rPr>
          <w:color w:val="231F20"/>
        </w:rPr>
        <w:t>também</w:t>
      </w:r>
      <w:r>
        <w:rPr>
          <w:color w:val="231F20"/>
          <w:spacing w:val="-11"/>
        </w:rPr>
        <w:t xml:space="preserve"> </w:t>
      </w:r>
      <w:r>
        <w:rPr>
          <w:color w:val="231F20"/>
        </w:rPr>
        <w:t>o</w:t>
      </w:r>
      <w:r>
        <w:rPr>
          <w:color w:val="231F20"/>
          <w:spacing w:val="-11"/>
        </w:rPr>
        <w:t xml:space="preserve"> </w:t>
      </w:r>
      <w:r>
        <w:rPr>
          <w:color w:val="231F20"/>
        </w:rPr>
        <w:t>é</w:t>
      </w:r>
      <w:r>
        <w:rPr>
          <w:color w:val="231F20"/>
          <w:spacing w:val="-11"/>
        </w:rPr>
        <w:t xml:space="preserve"> </w:t>
      </w:r>
      <w:r>
        <w:rPr>
          <w:color w:val="231F20"/>
        </w:rPr>
        <w:t>sua</w:t>
      </w:r>
      <w:r>
        <w:rPr>
          <w:color w:val="231F20"/>
          <w:spacing w:val="-12"/>
        </w:rPr>
        <w:t xml:space="preserve"> </w:t>
      </w:r>
      <w:r>
        <w:rPr>
          <w:color w:val="231F20"/>
        </w:rPr>
        <w:t>capacidade</w:t>
      </w:r>
      <w:r>
        <w:rPr>
          <w:color w:val="231F20"/>
          <w:spacing w:val="-11"/>
        </w:rPr>
        <w:t xml:space="preserve"> </w:t>
      </w:r>
      <w:r>
        <w:rPr>
          <w:color w:val="231F20"/>
        </w:rPr>
        <w:t>de</w:t>
      </w:r>
      <w:r>
        <w:rPr>
          <w:color w:val="231F20"/>
          <w:spacing w:val="-11"/>
        </w:rPr>
        <w:t xml:space="preserve"> </w:t>
      </w:r>
      <w:r>
        <w:rPr>
          <w:color w:val="231F20"/>
        </w:rPr>
        <w:t>geração</w:t>
      </w:r>
      <w:r>
        <w:rPr>
          <w:color w:val="231F20"/>
          <w:spacing w:val="-11"/>
        </w:rPr>
        <w:t xml:space="preserve"> </w:t>
      </w:r>
      <w:r>
        <w:rPr>
          <w:color w:val="231F20"/>
        </w:rPr>
        <w:t>de</w:t>
      </w:r>
      <w:r>
        <w:rPr>
          <w:color w:val="231F20"/>
          <w:spacing w:val="-11"/>
        </w:rPr>
        <w:t xml:space="preserve"> </w:t>
      </w:r>
      <w:r>
        <w:rPr>
          <w:color w:val="231F20"/>
        </w:rPr>
        <w:t>caixa.</w:t>
      </w:r>
    </w:p>
    <w:p w:rsidR="00601DCA" w:rsidRDefault="00601DCA" w:rsidP="00891971">
      <w:pPr>
        <w:pStyle w:val="Corpodetexto"/>
        <w:jc w:val="both"/>
        <w:rPr>
          <w:color w:val="231F20"/>
        </w:rPr>
      </w:pPr>
    </w:p>
    <w:p w:rsidR="004007A7" w:rsidRPr="00601DCA" w:rsidRDefault="00601DCA" w:rsidP="00891971">
      <w:pPr>
        <w:pStyle w:val="Corpodetexto"/>
        <w:jc w:val="both"/>
        <w:rPr>
          <w:b/>
        </w:rPr>
      </w:pPr>
      <w:r>
        <w:rPr>
          <w:b/>
          <w:color w:val="231F20"/>
        </w:rPr>
        <w:t>1.1.4 Tipos de Sucessão</w:t>
      </w:r>
    </w:p>
    <w:p w:rsidR="004007A7" w:rsidRDefault="004007A7" w:rsidP="00891971">
      <w:pPr>
        <w:pStyle w:val="Corpodetexto"/>
        <w:jc w:val="both"/>
        <w:rPr>
          <w:color w:val="231F20"/>
        </w:rPr>
      </w:pPr>
      <w:r>
        <w:rPr>
          <w:color w:val="231F20"/>
        </w:rPr>
        <w:t>O</w:t>
      </w:r>
      <w:r>
        <w:rPr>
          <w:color w:val="231F20"/>
          <w:spacing w:val="-10"/>
        </w:rPr>
        <w:t xml:space="preserve"> </w:t>
      </w:r>
      <w:r>
        <w:rPr>
          <w:color w:val="231F20"/>
        </w:rPr>
        <w:t>planejamento</w:t>
      </w:r>
      <w:r>
        <w:rPr>
          <w:color w:val="231F20"/>
          <w:spacing w:val="-9"/>
        </w:rPr>
        <w:t xml:space="preserve"> </w:t>
      </w:r>
      <w:r>
        <w:rPr>
          <w:color w:val="231F20"/>
        </w:rPr>
        <w:t>sucessório</w:t>
      </w:r>
      <w:r>
        <w:rPr>
          <w:color w:val="231F20"/>
          <w:spacing w:val="-9"/>
        </w:rPr>
        <w:t xml:space="preserve"> </w:t>
      </w:r>
      <w:r>
        <w:rPr>
          <w:color w:val="231F20"/>
        </w:rPr>
        <w:t>é</w:t>
      </w:r>
      <w:r>
        <w:rPr>
          <w:color w:val="231F20"/>
          <w:spacing w:val="-9"/>
        </w:rPr>
        <w:t xml:space="preserve"> </w:t>
      </w:r>
      <w:r>
        <w:rPr>
          <w:color w:val="231F20"/>
        </w:rPr>
        <w:t>uma</w:t>
      </w:r>
      <w:r>
        <w:rPr>
          <w:color w:val="231F20"/>
          <w:spacing w:val="-9"/>
        </w:rPr>
        <w:t xml:space="preserve"> </w:t>
      </w:r>
      <w:r>
        <w:rPr>
          <w:color w:val="231F20"/>
        </w:rPr>
        <w:t>das</w:t>
      </w:r>
      <w:r>
        <w:rPr>
          <w:color w:val="231F20"/>
          <w:spacing w:val="-9"/>
        </w:rPr>
        <w:t xml:space="preserve"> </w:t>
      </w:r>
      <w:r>
        <w:rPr>
          <w:color w:val="231F20"/>
        </w:rPr>
        <w:t>bases,</w:t>
      </w:r>
      <w:r>
        <w:rPr>
          <w:color w:val="231F20"/>
          <w:spacing w:val="-9"/>
        </w:rPr>
        <w:t xml:space="preserve"> </w:t>
      </w:r>
      <w:r>
        <w:rPr>
          <w:color w:val="231F20"/>
        </w:rPr>
        <w:t>que</w:t>
      </w:r>
      <w:r>
        <w:rPr>
          <w:color w:val="231F20"/>
          <w:spacing w:val="-9"/>
        </w:rPr>
        <w:t xml:space="preserve"> </w:t>
      </w:r>
      <w:r>
        <w:rPr>
          <w:color w:val="231F20"/>
        </w:rPr>
        <w:t>envolve</w:t>
      </w:r>
      <w:r>
        <w:rPr>
          <w:color w:val="231F20"/>
          <w:spacing w:val="-9"/>
        </w:rPr>
        <w:t xml:space="preserve"> </w:t>
      </w:r>
      <w:r>
        <w:rPr>
          <w:color w:val="231F20"/>
        </w:rPr>
        <w:t xml:space="preserve">a constituição de uma holding familiar, pois deve ser realizado de maneira antecipada para evitar que a falta do patriarca desestabilize o negócio da família. Ele permite que os </w:t>
      </w:r>
      <w:r>
        <w:rPr>
          <w:color w:val="231F20"/>
          <w:spacing w:val="-3"/>
        </w:rPr>
        <w:t xml:space="preserve">pais </w:t>
      </w:r>
      <w:r>
        <w:rPr>
          <w:color w:val="231F20"/>
        </w:rPr>
        <w:t>protejam os bens que serão repassados aos filhos. A sucessão de bens, por sua vez, pode ser feita através de inventário, sucessão testamentária, e antecipação da</w:t>
      </w:r>
      <w:r>
        <w:rPr>
          <w:color w:val="231F20"/>
          <w:spacing w:val="-3"/>
        </w:rPr>
        <w:t xml:space="preserve"> </w:t>
      </w:r>
      <w:r>
        <w:rPr>
          <w:color w:val="231F20"/>
        </w:rPr>
        <w:t>legítima.</w:t>
      </w:r>
    </w:p>
    <w:p w:rsidR="00601DCA" w:rsidRDefault="00601DCA" w:rsidP="00891971">
      <w:pPr>
        <w:pStyle w:val="Corpodetexto"/>
        <w:jc w:val="both"/>
        <w:rPr>
          <w:color w:val="231F20"/>
        </w:rPr>
      </w:pPr>
    </w:p>
    <w:p w:rsidR="00601DCA" w:rsidRDefault="004007A7" w:rsidP="00891971">
      <w:pPr>
        <w:pStyle w:val="Corpodetexto"/>
        <w:jc w:val="both"/>
        <w:rPr>
          <w:color w:val="231F20"/>
        </w:rPr>
      </w:pPr>
      <w:r>
        <w:rPr>
          <w:color w:val="231F20"/>
        </w:rPr>
        <w:t xml:space="preserve">Transferências de patrimônio podem causar </w:t>
      </w:r>
      <w:r>
        <w:rPr>
          <w:color w:val="231F20"/>
          <w:spacing w:val="-3"/>
        </w:rPr>
        <w:t xml:space="preserve">muita </w:t>
      </w:r>
      <w:r>
        <w:rPr>
          <w:color w:val="231F20"/>
        </w:rPr>
        <w:t>discussão entre herdeiros. O processo de inventário, que faz a partilha dos bens, pode se arrastar por anos, caso os herdeiros não se entendam acerca dessa divisão. Além disso, trata-se</w:t>
      </w:r>
      <w:r>
        <w:rPr>
          <w:color w:val="231F20"/>
          <w:spacing w:val="-23"/>
        </w:rPr>
        <w:t xml:space="preserve"> </w:t>
      </w:r>
      <w:r>
        <w:rPr>
          <w:color w:val="231F20"/>
        </w:rPr>
        <w:t xml:space="preserve">de uma das soluções mais custosas, visto pagar: os honorários advocatícios, que variam de 2% a 10% </w:t>
      </w:r>
      <w:r>
        <w:rPr>
          <w:color w:val="231F20"/>
        </w:rPr>
        <w:lastRenderedPageBreak/>
        <w:t xml:space="preserve">do patrimônio; </w:t>
      </w:r>
      <w:r>
        <w:rPr>
          <w:color w:val="231F20"/>
          <w:spacing w:val="-12"/>
        </w:rPr>
        <w:t xml:space="preserve">o </w:t>
      </w:r>
      <w:r>
        <w:rPr>
          <w:color w:val="231F20"/>
        </w:rPr>
        <w:t>ITCMD</w:t>
      </w:r>
      <w:r>
        <w:rPr>
          <w:color w:val="231F20"/>
          <w:spacing w:val="-17"/>
        </w:rPr>
        <w:t xml:space="preserve"> </w:t>
      </w:r>
      <w:r>
        <w:rPr>
          <w:color w:val="231F20"/>
        </w:rPr>
        <w:t>(Imposto</w:t>
      </w:r>
      <w:r>
        <w:rPr>
          <w:color w:val="231F20"/>
          <w:spacing w:val="-16"/>
        </w:rPr>
        <w:t xml:space="preserve"> </w:t>
      </w:r>
      <w:r>
        <w:rPr>
          <w:color w:val="231F20"/>
        </w:rPr>
        <w:t>sobre</w:t>
      </w:r>
      <w:r>
        <w:rPr>
          <w:color w:val="231F20"/>
          <w:spacing w:val="-20"/>
        </w:rPr>
        <w:t xml:space="preserve"> </w:t>
      </w:r>
      <w:r>
        <w:rPr>
          <w:color w:val="231F20"/>
        </w:rPr>
        <w:t>Transmissão</w:t>
      </w:r>
      <w:r>
        <w:rPr>
          <w:color w:val="231F20"/>
          <w:spacing w:val="-16"/>
        </w:rPr>
        <w:t xml:space="preserve"> </w:t>
      </w:r>
      <w:r>
        <w:rPr>
          <w:color w:val="231F20"/>
        </w:rPr>
        <w:t>Causa</w:t>
      </w:r>
      <w:r>
        <w:rPr>
          <w:color w:val="231F20"/>
          <w:spacing w:val="-16"/>
        </w:rPr>
        <w:t xml:space="preserve"> </w:t>
      </w:r>
      <w:r>
        <w:rPr>
          <w:color w:val="231F20"/>
        </w:rPr>
        <w:t>Mortis</w:t>
      </w:r>
      <w:r>
        <w:rPr>
          <w:color w:val="231F20"/>
          <w:spacing w:val="-16"/>
        </w:rPr>
        <w:t xml:space="preserve"> </w:t>
      </w:r>
      <w:r>
        <w:rPr>
          <w:color w:val="231F20"/>
        </w:rPr>
        <w:t>e</w:t>
      </w:r>
      <w:r>
        <w:rPr>
          <w:color w:val="231F20"/>
          <w:spacing w:val="-16"/>
        </w:rPr>
        <w:t xml:space="preserve"> </w:t>
      </w:r>
      <w:r>
        <w:rPr>
          <w:color w:val="231F20"/>
        </w:rPr>
        <w:t xml:space="preserve">Doações) que representa 4% do patrimônio; as custas processuais </w:t>
      </w:r>
      <w:r>
        <w:rPr>
          <w:color w:val="231F20"/>
          <w:spacing w:val="-4"/>
        </w:rPr>
        <w:t xml:space="preserve">que </w:t>
      </w:r>
      <w:r>
        <w:rPr>
          <w:color w:val="231F20"/>
        </w:rPr>
        <w:t xml:space="preserve">variam de 10 a 3.000 </w:t>
      </w:r>
      <w:r w:rsidR="00F15D61">
        <w:rPr>
          <w:color w:val="231F20"/>
        </w:rPr>
        <w:t>Unidade Fiscal Estadual</w:t>
      </w:r>
      <w:r w:rsidR="00601DCA">
        <w:rPr>
          <w:color w:val="231F20"/>
        </w:rPr>
        <w:t>; e, por fim, os emolumentos cartoriais. Como o não pagamento do ITCMD pode interromper o processo,</w:t>
      </w:r>
      <w:r w:rsidR="00601DCA">
        <w:rPr>
          <w:color w:val="231F20"/>
          <w:spacing w:val="-10"/>
        </w:rPr>
        <w:t xml:space="preserve"> </w:t>
      </w:r>
      <w:r w:rsidR="00601DCA">
        <w:rPr>
          <w:color w:val="231F20"/>
        </w:rPr>
        <w:t>caso</w:t>
      </w:r>
      <w:r w:rsidR="00601DCA">
        <w:rPr>
          <w:color w:val="231F20"/>
          <w:spacing w:val="-10"/>
        </w:rPr>
        <w:t xml:space="preserve"> </w:t>
      </w:r>
      <w:r w:rsidR="00601DCA">
        <w:rPr>
          <w:color w:val="231F20"/>
        </w:rPr>
        <w:t>os</w:t>
      </w:r>
      <w:r w:rsidR="00601DCA">
        <w:rPr>
          <w:color w:val="231F20"/>
          <w:spacing w:val="-10"/>
        </w:rPr>
        <w:t xml:space="preserve"> </w:t>
      </w:r>
      <w:r w:rsidR="00601DCA">
        <w:rPr>
          <w:color w:val="231F20"/>
        </w:rPr>
        <w:t>herdeiros</w:t>
      </w:r>
      <w:r w:rsidR="00601DCA">
        <w:rPr>
          <w:color w:val="231F20"/>
          <w:spacing w:val="-10"/>
        </w:rPr>
        <w:t xml:space="preserve"> </w:t>
      </w:r>
      <w:r w:rsidR="00601DCA">
        <w:rPr>
          <w:color w:val="231F20"/>
        </w:rPr>
        <w:t>não</w:t>
      </w:r>
      <w:r w:rsidR="00601DCA">
        <w:rPr>
          <w:color w:val="231F20"/>
          <w:spacing w:val="-10"/>
        </w:rPr>
        <w:t xml:space="preserve"> </w:t>
      </w:r>
      <w:r w:rsidR="00601DCA">
        <w:rPr>
          <w:color w:val="231F20"/>
        </w:rPr>
        <w:t>tenham</w:t>
      </w:r>
      <w:r w:rsidR="00601DCA">
        <w:rPr>
          <w:color w:val="231F20"/>
          <w:spacing w:val="-10"/>
        </w:rPr>
        <w:t xml:space="preserve"> </w:t>
      </w:r>
      <w:r w:rsidR="00601DCA">
        <w:rPr>
          <w:color w:val="231F20"/>
        </w:rPr>
        <w:t>condições</w:t>
      </w:r>
      <w:r w:rsidR="00601DCA">
        <w:rPr>
          <w:color w:val="231F20"/>
          <w:spacing w:val="-10"/>
        </w:rPr>
        <w:t xml:space="preserve"> </w:t>
      </w:r>
      <w:r w:rsidR="00601DCA">
        <w:rPr>
          <w:color w:val="231F20"/>
        </w:rPr>
        <w:t xml:space="preserve">financeiras, muitas vezes, eles acabam tendo que se desfazer de um </w:t>
      </w:r>
      <w:r w:rsidR="00601DCA">
        <w:rPr>
          <w:color w:val="231F20"/>
          <w:spacing w:val="-4"/>
        </w:rPr>
        <w:t xml:space="preserve">bem </w:t>
      </w:r>
      <w:r w:rsidR="00601DCA">
        <w:rPr>
          <w:color w:val="231F20"/>
        </w:rPr>
        <w:t>para cobrir as despesas da ação.</w:t>
      </w:r>
    </w:p>
    <w:p w:rsidR="00601DCA" w:rsidRDefault="00601DCA" w:rsidP="00891971">
      <w:pPr>
        <w:pStyle w:val="Corpodetexto"/>
        <w:jc w:val="both"/>
      </w:pPr>
    </w:p>
    <w:p w:rsidR="00601DCA" w:rsidRDefault="00601DCA" w:rsidP="00891971">
      <w:pPr>
        <w:pStyle w:val="Corpodetexto"/>
        <w:jc w:val="both"/>
        <w:rPr>
          <w:color w:val="231F20"/>
        </w:rPr>
      </w:pPr>
      <w:r>
        <w:rPr>
          <w:color w:val="231F20"/>
        </w:rPr>
        <w:t>O</w:t>
      </w:r>
      <w:r>
        <w:rPr>
          <w:color w:val="231F20"/>
          <w:spacing w:val="-7"/>
        </w:rPr>
        <w:t xml:space="preserve"> </w:t>
      </w:r>
      <w:r>
        <w:rPr>
          <w:color w:val="231F20"/>
        </w:rPr>
        <w:t>falecimento</w:t>
      </w:r>
      <w:r>
        <w:rPr>
          <w:color w:val="231F20"/>
          <w:spacing w:val="-6"/>
        </w:rPr>
        <w:t xml:space="preserve"> </w:t>
      </w:r>
      <w:r>
        <w:rPr>
          <w:color w:val="231F20"/>
        </w:rPr>
        <w:t>tem</w:t>
      </w:r>
      <w:r>
        <w:rPr>
          <w:color w:val="231F20"/>
          <w:spacing w:val="-6"/>
        </w:rPr>
        <w:t xml:space="preserve"> </w:t>
      </w:r>
      <w:r>
        <w:rPr>
          <w:color w:val="231F20"/>
        </w:rPr>
        <w:t>como</w:t>
      </w:r>
      <w:r>
        <w:rPr>
          <w:color w:val="231F20"/>
          <w:spacing w:val="-6"/>
        </w:rPr>
        <w:t xml:space="preserve"> </w:t>
      </w:r>
      <w:r>
        <w:rPr>
          <w:color w:val="231F20"/>
        </w:rPr>
        <w:t>consequência</w:t>
      </w:r>
      <w:r>
        <w:rPr>
          <w:color w:val="231F20"/>
          <w:spacing w:val="-6"/>
        </w:rPr>
        <w:t xml:space="preserve"> </w:t>
      </w:r>
      <w:r>
        <w:rPr>
          <w:color w:val="231F20"/>
        </w:rPr>
        <w:t>jurídica</w:t>
      </w:r>
      <w:r>
        <w:rPr>
          <w:color w:val="231F20"/>
          <w:spacing w:val="-6"/>
        </w:rPr>
        <w:t xml:space="preserve"> </w:t>
      </w:r>
      <w:r>
        <w:rPr>
          <w:color w:val="231F20"/>
        </w:rPr>
        <w:t>a</w:t>
      </w:r>
      <w:r>
        <w:rPr>
          <w:color w:val="231F20"/>
          <w:spacing w:val="-6"/>
        </w:rPr>
        <w:t xml:space="preserve"> </w:t>
      </w:r>
      <w:r>
        <w:rPr>
          <w:color w:val="231F20"/>
        </w:rPr>
        <w:t>sucessão de bens, conforme se pode verificar no artigo 1.822 do Código Civil. Existem duas formas de sucessão: legítima e testamentária. Em ambas devem ser respeitados os direitos hereditários, inclusive os relacionados ao cônjuge, o qual, no atual Código Civil, artigo 1.845, foi alçado à condição de herdeiro necessário, junto com ascendentes e descendentes. A legítima, portanto, refere-se à metade dos bens da herança que,</w:t>
      </w:r>
      <w:r>
        <w:rPr>
          <w:color w:val="231F20"/>
          <w:spacing w:val="-8"/>
        </w:rPr>
        <w:t xml:space="preserve"> </w:t>
      </w:r>
      <w:r>
        <w:rPr>
          <w:color w:val="231F20"/>
        </w:rPr>
        <w:t>de</w:t>
      </w:r>
      <w:r>
        <w:rPr>
          <w:color w:val="231F20"/>
          <w:spacing w:val="-8"/>
        </w:rPr>
        <w:t xml:space="preserve"> </w:t>
      </w:r>
      <w:r>
        <w:rPr>
          <w:color w:val="231F20"/>
        </w:rPr>
        <w:t>acordo</w:t>
      </w:r>
      <w:r>
        <w:rPr>
          <w:color w:val="231F20"/>
          <w:spacing w:val="-8"/>
        </w:rPr>
        <w:t xml:space="preserve"> </w:t>
      </w:r>
      <w:r>
        <w:rPr>
          <w:color w:val="231F20"/>
        </w:rPr>
        <w:t>com</w:t>
      </w:r>
      <w:r>
        <w:rPr>
          <w:color w:val="231F20"/>
          <w:spacing w:val="-8"/>
        </w:rPr>
        <w:t xml:space="preserve"> </w:t>
      </w:r>
      <w:r>
        <w:rPr>
          <w:color w:val="231F20"/>
        </w:rPr>
        <w:t>o</w:t>
      </w:r>
      <w:r>
        <w:rPr>
          <w:color w:val="231F20"/>
          <w:spacing w:val="-8"/>
        </w:rPr>
        <w:t xml:space="preserve"> </w:t>
      </w:r>
      <w:r>
        <w:rPr>
          <w:color w:val="231F20"/>
        </w:rPr>
        <w:t>artigo</w:t>
      </w:r>
      <w:r>
        <w:rPr>
          <w:color w:val="231F20"/>
          <w:spacing w:val="-8"/>
        </w:rPr>
        <w:t xml:space="preserve"> </w:t>
      </w:r>
      <w:r>
        <w:rPr>
          <w:color w:val="231F20"/>
        </w:rPr>
        <w:t>1.846</w:t>
      </w:r>
      <w:r>
        <w:rPr>
          <w:color w:val="231F20"/>
          <w:spacing w:val="-8"/>
        </w:rPr>
        <w:t xml:space="preserve"> </w:t>
      </w:r>
      <w:r>
        <w:rPr>
          <w:color w:val="231F20"/>
        </w:rPr>
        <w:t>do</w:t>
      </w:r>
      <w:r>
        <w:rPr>
          <w:color w:val="231F20"/>
          <w:spacing w:val="-8"/>
        </w:rPr>
        <w:t xml:space="preserve"> </w:t>
      </w:r>
      <w:r>
        <w:rPr>
          <w:color w:val="231F20"/>
        </w:rPr>
        <w:t>Código</w:t>
      </w:r>
      <w:r>
        <w:rPr>
          <w:color w:val="231F20"/>
          <w:spacing w:val="-8"/>
        </w:rPr>
        <w:t xml:space="preserve"> </w:t>
      </w:r>
      <w:r>
        <w:rPr>
          <w:color w:val="231F20"/>
        </w:rPr>
        <w:t>Civil,</w:t>
      </w:r>
      <w:r>
        <w:rPr>
          <w:color w:val="231F20"/>
          <w:spacing w:val="-8"/>
        </w:rPr>
        <w:t xml:space="preserve"> </w:t>
      </w:r>
      <w:r>
        <w:rPr>
          <w:color w:val="231F20"/>
        </w:rPr>
        <w:t>pertencem aos herdeiros necessários. Essa metade é protegida por lei e não pode nem ser objeto de testamento e nem de doação. A outra metade é considerada a parte disponível, podendo o propri</w:t>
      </w:r>
      <w:r w:rsidR="00F15D61">
        <w:rPr>
          <w:color w:val="231F20"/>
        </w:rPr>
        <w:t>etário dispor dessa como quiser</w:t>
      </w:r>
      <w:r>
        <w:rPr>
          <w:color w:val="231F20"/>
        </w:rPr>
        <w:t>.</w:t>
      </w:r>
    </w:p>
    <w:p w:rsidR="00601DCA" w:rsidRDefault="00601DCA" w:rsidP="00891971">
      <w:pPr>
        <w:pStyle w:val="Corpodetexto"/>
        <w:ind w:firstLine="283"/>
        <w:jc w:val="both"/>
      </w:pPr>
    </w:p>
    <w:p w:rsidR="00601DCA" w:rsidRDefault="00601DCA" w:rsidP="00891971">
      <w:pPr>
        <w:pStyle w:val="Corpodetexto"/>
        <w:jc w:val="both"/>
      </w:pPr>
      <w:r>
        <w:rPr>
          <w:color w:val="231F20"/>
        </w:rPr>
        <w:t>Dentro da estratégia de constituição da holding familiar, aqui exposta, está a doação das quotas da empresa criada para os herdeiros. O objetivo é evitar que a divisão dos bens familiares entre os herdeiros ocorra apenas no momento do falecimento dos patriarcas, com todos os inconvenientes deste fato e, especialmente, no caso de um eventual processo judicial de inventário. De acordo com o artigo 538 do</w:t>
      </w:r>
      <w:r>
        <w:rPr>
          <w:color w:val="231F20"/>
          <w:spacing w:val="-12"/>
        </w:rPr>
        <w:t xml:space="preserve"> </w:t>
      </w:r>
      <w:r>
        <w:rPr>
          <w:color w:val="231F20"/>
        </w:rPr>
        <w:t>Código Civil,</w:t>
      </w:r>
      <w:r>
        <w:rPr>
          <w:color w:val="231F20"/>
          <w:spacing w:val="-13"/>
        </w:rPr>
        <w:t xml:space="preserve"> </w:t>
      </w:r>
      <w:r>
        <w:rPr>
          <w:color w:val="231F20"/>
        </w:rPr>
        <w:t>“considera-se</w:t>
      </w:r>
      <w:r>
        <w:rPr>
          <w:color w:val="231F20"/>
          <w:spacing w:val="-12"/>
        </w:rPr>
        <w:t xml:space="preserve"> </w:t>
      </w:r>
      <w:r>
        <w:rPr>
          <w:color w:val="231F20"/>
        </w:rPr>
        <w:t>doação</w:t>
      </w:r>
      <w:r>
        <w:rPr>
          <w:color w:val="231F20"/>
          <w:spacing w:val="-13"/>
        </w:rPr>
        <w:t xml:space="preserve"> </w:t>
      </w:r>
      <w:r>
        <w:rPr>
          <w:color w:val="231F20"/>
        </w:rPr>
        <w:t>o</w:t>
      </w:r>
      <w:r>
        <w:rPr>
          <w:color w:val="231F20"/>
          <w:spacing w:val="-13"/>
        </w:rPr>
        <w:t xml:space="preserve"> </w:t>
      </w:r>
      <w:r>
        <w:rPr>
          <w:color w:val="231F20"/>
        </w:rPr>
        <w:t>contrato</w:t>
      </w:r>
      <w:r>
        <w:rPr>
          <w:color w:val="231F20"/>
          <w:spacing w:val="-13"/>
        </w:rPr>
        <w:t xml:space="preserve"> </w:t>
      </w:r>
      <w:r>
        <w:rPr>
          <w:color w:val="231F20"/>
        </w:rPr>
        <w:t>em</w:t>
      </w:r>
      <w:r>
        <w:rPr>
          <w:color w:val="231F20"/>
          <w:spacing w:val="-13"/>
        </w:rPr>
        <w:t xml:space="preserve"> </w:t>
      </w:r>
      <w:r>
        <w:rPr>
          <w:color w:val="231F20"/>
        </w:rPr>
        <w:t>que</w:t>
      </w:r>
      <w:r>
        <w:rPr>
          <w:color w:val="231F20"/>
          <w:spacing w:val="-13"/>
        </w:rPr>
        <w:t xml:space="preserve"> </w:t>
      </w:r>
      <w:r>
        <w:rPr>
          <w:color w:val="231F20"/>
        </w:rPr>
        <w:t>uma</w:t>
      </w:r>
      <w:r>
        <w:rPr>
          <w:color w:val="231F20"/>
          <w:spacing w:val="-13"/>
        </w:rPr>
        <w:t xml:space="preserve"> </w:t>
      </w:r>
      <w:r>
        <w:rPr>
          <w:color w:val="231F20"/>
        </w:rPr>
        <w:t>pessoa,</w:t>
      </w:r>
      <w:r>
        <w:rPr>
          <w:color w:val="231F20"/>
          <w:spacing w:val="-13"/>
        </w:rPr>
        <w:t xml:space="preserve"> </w:t>
      </w:r>
      <w:r>
        <w:rPr>
          <w:color w:val="231F20"/>
        </w:rPr>
        <w:t>por liberalidade, transfere do seu patrimônio bens ou vantagens para o de outra”. Como forma de garantir a subsistência do doador, o artigo 548 reza que a doação pode ser considerada nula, caso ele faça a doação de todos os seus bens, evitando, assim, sua insolvência. A doação também não pode atingir    a parte legítima de bens do doador. A doação que exceda      a metade considerada disponível é chamada de “doação inoficiosa”, sendo considerada nula, conforme o artigo 549 do Código Civil.</w:t>
      </w:r>
    </w:p>
    <w:p w:rsidR="00823DDA" w:rsidRDefault="00823DDA" w:rsidP="00891971">
      <w:pPr>
        <w:pStyle w:val="Corpodetexto"/>
        <w:jc w:val="both"/>
        <w:rPr>
          <w:color w:val="231F20"/>
        </w:rPr>
      </w:pPr>
    </w:p>
    <w:p w:rsidR="00601DCA" w:rsidRDefault="00601DCA" w:rsidP="00891971">
      <w:pPr>
        <w:pStyle w:val="Corpodetexto"/>
        <w:jc w:val="both"/>
        <w:rPr>
          <w:color w:val="231F20"/>
        </w:rPr>
      </w:pPr>
      <w:r>
        <w:rPr>
          <w:color w:val="231F20"/>
        </w:rPr>
        <w:t>Em</w:t>
      </w:r>
      <w:r>
        <w:rPr>
          <w:color w:val="231F20"/>
          <w:spacing w:val="-24"/>
        </w:rPr>
        <w:t xml:space="preserve"> </w:t>
      </w:r>
      <w:r>
        <w:rPr>
          <w:color w:val="231F20"/>
        </w:rPr>
        <w:t>função</w:t>
      </w:r>
      <w:r>
        <w:rPr>
          <w:color w:val="231F20"/>
          <w:spacing w:val="-24"/>
        </w:rPr>
        <w:t xml:space="preserve"> </w:t>
      </w:r>
      <w:r>
        <w:rPr>
          <w:color w:val="231F20"/>
        </w:rPr>
        <w:t>dessas</w:t>
      </w:r>
      <w:r>
        <w:rPr>
          <w:color w:val="231F20"/>
          <w:spacing w:val="-24"/>
        </w:rPr>
        <w:t xml:space="preserve"> </w:t>
      </w:r>
      <w:r>
        <w:rPr>
          <w:color w:val="231F20"/>
        </w:rPr>
        <w:t>características,</w:t>
      </w:r>
      <w:r>
        <w:rPr>
          <w:color w:val="231F20"/>
          <w:spacing w:val="-23"/>
        </w:rPr>
        <w:t xml:space="preserve"> </w:t>
      </w:r>
      <w:r>
        <w:rPr>
          <w:color w:val="231F20"/>
        </w:rPr>
        <w:t>surge</w:t>
      </w:r>
      <w:r>
        <w:rPr>
          <w:color w:val="231F20"/>
          <w:spacing w:val="-24"/>
        </w:rPr>
        <w:t xml:space="preserve"> </w:t>
      </w:r>
      <w:r>
        <w:rPr>
          <w:color w:val="231F20"/>
        </w:rPr>
        <w:t>o</w:t>
      </w:r>
      <w:r>
        <w:rPr>
          <w:color w:val="231F20"/>
          <w:spacing w:val="-24"/>
        </w:rPr>
        <w:t xml:space="preserve"> </w:t>
      </w:r>
      <w:r>
        <w:rPr>
          <w:color w:val="231F20"/>
        </w:rPr>
        <w:t>que</w:t>
      </w:r>
      <w:r>
        <w:rPr>
          <w:color w:val="231F20"/>
          <w:spacing w:val="-23"/>
        </w:rPr>
        <w:t xml:space="preserve"> </w:t>
      </w:r>
      <w:r>
        <w:rPr>
          <w:color w:val="231F20"/>
        </w:rPr>
        <w:t>é</w:t>
      </w:r>
      <w:r>
        <w:rPr>
          <w:color w:val="231F20"/>
          <w:spacing w:val="-24"/>
        </w:rPr>
        <w:t xml:space="preserve"> </w:t>
      </w:r>
      <w:r>
        <w:rPr>
          <w:color w:val="231F20"/>
        </w:rPr>
        <w:t xml:space="preserve">denominado antecipação da legítima, que denota a disposição prévia </w:t>
      </w:r>
      <w:r>
        <w:rPr>
          <w:color w:val="231F20"/>
          <w:spacing w:val="-5"/>
        </w:rPr>
        <w:t xml:space="preserve">dos </w:t>
      </w:r>
      <w:r>
        <w:rPr>
          <w:color w:val="231F20"/>
        </w:rPr>
        <w:t xml:space="preserve">bens, que seriam transferidos no momento da sucessão, ou seja, “a doação de ascendentes para descendentes, ou de um cônjuge a outro, importa adiantamento do que lhes cabe </w:t>
      </w:r>
      <w:r>
        <w:rPr>
          <w:color w:val="231F20"/>
          <w:spacing w:val="-5"/>
        </w:rPr>
        <w:t xml:space="preserve">por </w:t>
      </w:r>
      <w:r>
        <w:rPr>
          <w:color w:val="231F20"/>
        </w:rPr>
        <w:t xml:space="preserve">herança”, conforme o artigo </w:t>
      </w:r>
      <w:r w:rsidR="00F15D61">
        <w:rPr>
          <w:color w:val="231F20"/>
        </w:rPr>
        <w:t>544 do Código Civil</w:t>
      </w:r>
      <w:r>
        <w:rPr>
          <w:color w:val="231F20"/>
        </w:rPr>
        <w:t>.</w:t>
      </w:r>
    </w:p>
    <w:p w:rsidR="00823DDA" w:rsidRDefault="00823DDA" w:rsidP="00891971">
      <w:pPr>
        <w:pStyle w:val="Corpodetexto"/>
        <w:jc w:val="both"/>
        <w:rPr>
          <w:color w:val="231F20"/>
        </w:rPr>
      </w:pPr>
    </w:p>
    <w:p w:rsidR="00601DCA" w:rsidRPr="00823DDA" w:rsidRDefault="00823DDA" w:rsidP="00891971">
      <w:pPr>
        <w:pStyle w:val="Corpodetexto"/>
        <w:jc w:val="both"/>
        <w:rPr>
          <w:b/>
        </w:rPr>
      </w:pPr>
      <w:r w:rsidRPr="00823DDA">
        <w:rPr>
          <w:b/>
          <w:color w:val="231F20"/>
        </w:rPr>
        <w:t xml:space="preserve">1.1.4 </w:t>
      </w:r>
      <w:r w:rsidR="00601DCA" w:rsidRPr="00823DDA">
        <w:rPr>
          <w:b/>
          <w:color w:val="231F20"/>
        </w:rPr>
        <w:t>Planejamento</w:t>
      </w:r>
      <w:r w:rsidR="00601DCA" w:rsidRPr="00823DDA">
        <w:rPr>
          <w:b/>
          <w:color w:val="231F20"/>
          <w:spacing w:val="-5"/>
        </w:rPr>
        <w:t xml:space="preserve"> </w:t>
      </w:r>
      <w:r w:rsidR="00601DCA" w:rsidRPr="00823DDA">
        <w:rPr>
          <w:b/>
          <w:color w:val="231F20"/>
        </w:rPr>
        <w:t>Tributário</w:t>
      </w:r>
    </w:p>
    <w:p w:rsidR="00823DDA" w:rsidRDefault="00601DCA" w:rsidP="00891971">
      <w:pPr>
        <w:pStyle w:val="Corpodetexto"/>
        <w:jc w:val="both"/>
        <w:rPr>
          <w:color w:val="231F20"/>
        </w:rPr>
      </w:pPr>
      <w:r>
        <w:rPr>
          <w:color w:val="231F20"/>
        </w:rPr>
        <w:t xml:space="preserve">A gestão financeira é responsável pela gestão dos fluxos de recursos financeiros, e tem a responsabilidade de captar os recursos necessários para as atividades da empresa (decisões de financiamento) e aplicar os recursos financeiros gerados pelo negócio, de modo a atingir os objetivos organizacionais (decisões de investimento). Entre as funções da </w:t>
      </w:r>
      <w:r>
        <w:rPr>
          <w:color w:val="231F20"/>
          <w:spacing w:val="-3"/>
        </w:rPr>
        <w:t xml:space="preserve">gestão </w:t>
      </w:r>
      <w:r>
        <w:rPr>
          <w:color w:val="231F20"/>
        </w:rPr>
        <w:t>financeira se encontram: o planejamento financeiro, o controle financeiro, e a admin</w:t>
      </w:r>
      <w:r w:rsidR="00823DDA">
        <w:rPr>
          <w:color w:val="231F20"/>
        </w:rPr>
        <w:t>istração de ativos e passivos.</w:t>
      </w:r>
    </w:p>
    <w:p w:rsidR="00823DDA" w:rsidRDefault="00823DDA" w:rsidP="00891971">
      <w:pPr>
        <w:pStyle w:val="Corpodetexto"/>
        <w:jc w:val="both"/>
        <w:rPr>
          <w:color w:val="231F20"/>
        </w:rPr>
      </w:pPr>
    </w:p>
    <w:p w:rsidR="00601DCA" w:rsidRDefault="00601DCA" w:rsidP="00891971">
      <w:pPr>
        <w:pStyle w:val="Corpodetexto"/>
        <w:jc w:val="both"/>
        <w:rPr>
          <w:color w:val="231F20"/>
        </w:rPr>
      </w:pPr>
      <w:r>
        <w:rPr>
          <w:color w:val="231F20"/>
        </w:rPr>
        <w:t>O planejamento financeiro</w:t>
      </w:r>
      <w:r w:rsidR="00213E2B">
        <w:rPr>
          <w:color w:val="231F20"/>
        </w:rPr>
        <w:t xml:space="preserve"> tem por objetivo </w:t>
      </w:r>
      <w:r>
        <w:rPr>
          <w:color w:val="231F20"/>
        </w:rPr>
        <w:t>definir as metas</w:t>
      </w:r>
      <w:r>
        <w:rPr>
          <w:color w:val="231F20"/>
          <w:spacing w:val="18"/>
        </w:rPr>
        <w:t xml:space="preserve"> </w:t>
      </w:r>
      <w:r>
        <w:rPr>
          <w:color w:val="231F20"/>
        </w:rPr>
        <w:t>de</w:t>
      </w:r>
      <w:r>
        <w:rPr>
          <w:color w:val="231F20"/>
          <w:spacing w:val="18"/>
        </w:rPr>
        <w:t xml:space="preserve"> </w:t>
      </w:r>
      <w:r>
        <w:rPr>
          <w:color w:val="231F20"/>
        </w:rPr>
        <w:t>rentabilidade</w:t>
      </w:r>
      <w:r>
        <w:rPr>
          <w:color w:val="231F20"/>
          <w:spacing w:val="18"/>
        </w:rPr>
        <w:t xml:space="preserve"> </w:t>
      </w:r>
      <w:r>
        <w:rPr>
          <w:color w:val="231F20"/>
        </w:rPr>
        <w:t>dos</w:t>
      </w:r>
      <w:r>
        <w:rPr>
          <w:color w:val="231F20"/>
          <w:spacing w:val="18"/>
        </w:rPr>
        <w:t xml:space="preserve"> </w:t>
      </w:r>
      <w:r>
        <w:rPr>
          <w:color w:val="231F20"/>
        </w:rPr>
        <w:t>investimentos,</w:t>
      </w:r>
      <w:r>
        <w:rPr>
          <w:color w:val="231F20"/>
          <w:spacing w:val="18"/>
        </w:rPr>
        <w:t xml:space="preserve"> </w:t>
      </w:r>
      <w:r>
        <w:rPr>
          <w:color w:val="231F20"/>
        </w:rPr>
        <w:t>procura</w:t>
      </w:r>
      <w:r>
        <w:rPr>
          <w:color w:val="231F20"/>
          <w:spacing w:val="19"/>
        </w:rPr>
        <w:t xml:space="preserve"> </w:t>
      </w:r>
      <w:r>
        <w:rPr>
          <w:color w:val="231F20"/>
        </w:rPr>
        <w:t xml:space="preserve">mensurar necessidades de expansão e monitora os resultados </w:t>
      </w:r>
      <w:r>
        <w:rPr>
          <w:color w:val="231F20"/>
          <w:spacing w:val="-4"/>
        </w:rPr>
        <w:t xml:space="preserve">para </w:t>
      </w:r>
      <w:r>
        <w:rPr>
          <w:color w:val="231F20"/>
        </w:rPr>
        <w:t xml:space="preserve">identificar ajustes necessários. É justamente no </w:t>
      </w:r>
      <w:r>
        <w:rPr>
          <w:color w:val="231F20"/>
          <w:spacing w:val="-2"/>
        </w:rPr>
        <w:t xml:space="preserve">planejamento </w:t>
      </w:r>
      <w:r>
        <w:rPr>
          <w:color w:val="231F20"/>
        </w:rPr>
        <w:t>financeiro que se insere o planejamento tributário.</w:t>
      </w:r>
    </w:p>
    <w:p w:rsidR="00823DDA" w:rsidRDefault="00823DDA" w:rsidP="00891971">
      <w:pPr>
        <w:pStyle w:val="Corpodetexto"/>
        <w:jc w:val="both"/>
      </w:pPr>
    </w:p>
    <w:p w:rsidR="00601DCA" w:rsidRDefault="00601DCA" w:rsidP="00891971">
      <w:pPr>
        <w:pStyle w:val="Corpodetexto"/>
        <w:jc w:val="both"/>
        <w:rPr>
          <w:color w:val="231F20"/>
        </w:rPr>
      </w:pPr>
      <w:r>
        <w:rPr>
          <w:color w:val="231F20"/>
        </w:rPr>
        <w:t>O planejamento tributário consiste no estudo dos tipos societários, regimes tributários e delimitações operacionais das empresas com o fim de busca pela elisão fiscal, ou seja, de maneiras legais de redução da carga de impostos e</w:t>
      </w:r>
      <w:r>
        <w:rPr>
          <w:color w:val="231F20"/>
          <w:spacing w:val="-24"/>
        </w:rPr>
        <w:t xml:space="preserve"> </w:t>
      </w:r>
      <w:r>
        <w:rPr>
          <w:color w:val="231F20"/>
        </w:rPr>
        <w:lastRenderedPageBreak/>
        <w:t xml:space="preserve">eficácia administrativo-financeira. Pelo nível de abrangência deste estudo, o qual deverá nortear a gestão de custos, a formação do preço de venda e a eficácia alcançada com o investimento em ativos, pode-se dizer que este estudo assume os contornos de um planejamento estratégico orçamentário, que tem </w:t>
      </w:r>
      <w:r>
        <w:rPr>
          <w:color w:val="231F20"/>
          <w:spacing w:val="-3"/>
        </w:rPr>
        <w:t xml:space="preserve">como </w:t>
      </w:r>
      <w:r>
        <w:rPr>
          <w:color w:val="231F20"/>
        </w:rPr>
        <w:t xml:space="preserve">objetivo melhorar a eficiência de aplicação dos recursos </w:t>
      </w:r>
      <w:r>
        <w:rPr>
          <w:color w:val="231F20"/>
          <w:spacing w:val="-13"/>
        </w:rPr>
        <w:t xml:space="preserve">e </w:t>
      </w:r>
      <w:r>
        <w:rPr>
          <w:color w:val="231F20"/>
        </w:rPr>
        <w:t>produzir mel</w:t>
      </w:r>
      <w:r w:rsidR="00213E2B">
        <w:rPr>
          <w:color w:val="231F20"/>
        </w:rPr>
        <w:t>hores resultados para a empresa</w:t>
      </w:r>
      <w:r>
        <w:rPr>
          <w:color w:val="231F20"/>
        </w:rPr>
        <w:t>.</w:t>
      </w:r>
    </w:p>
    <w:p w:rsidR="00A30AB2" w:rsidRDefault="00A30AB2" w:rsidP="00891971">
      <w:pPr>
        <w:pStyle w:val="Corpodetexto"/>
        <w:jc w:val="both"/>
        <w:rPr>
          <w:color w:val="231F20"/>
        </w:rPr>
      </w:pPr>
    </w:p>
    <w:p w:rsidR="00601DCA" w:rsidRPr="00A30AB2" w:rsidRDefault="00A30AB2" w:rsidP="00A30AB2">
      <w:pPr>
        <w:pStyle w:val="Corpodetexto"/>
        <w:jc w:val="both"/>
        <w:rPr>
          <w:b/>
        </w:rPr>
      </w:pPr>
      <w:r w:rsidRPr="00A30AB2">
        <w:rPr>
          <w:b/>
          <w:color w:val="231F20"/>
        </w:rPr>
        <w:t xml:space="preserve">1.1.1 </w:t>
      </w:r>
      <w:r w:rsidR="00601DCA" w:rsidRPr="00A30AB2">
        <w:rPr>
          <w:b/>
          <w:color w:val="231F20"/>
        </w:rPr>
        <w:t>Regimes</w:t>
      </w:r>
      <w:r w:rsidR="00601DCA" w:rsidRPr="00A30AB2">
        <w:rPr>
          <w:b/>
          <w:color w:val="231F20"/>
          <w:spacing w:val="-5"/>
        </w:rPr>
        <w:t xml:space="preserve"> </w:t>
      </w:r>
      <w:r w:rsidR="00601DCA" w:rsidRPr="00A30AB2">
        <w:rPr>
          <w:b/>
          <w:color w:val="231F20"/>
        </w:rPr>
        <w:t>Tributários</w:t>
      </w:r>
    </w:p>
    <w:p w:rsidR="00601DCA" w:rsidRDefault="00601DCA" w:rsidP="00891971">
      <w:pPr>
        <w:pStyle w:val="Corpodetexto"/>
        <w:jc w:val="both"/>
        <w:rPr>
          <w:color w:val="231F20"/>
        </w:rPr>
      </w:pPr>
      <w:r>
        <w:rPr>
          <w:color w:val="231F20"/>
        </w:rPr>
        <w:t>Entre</w:t>
      </w:r>
      <w:r>
        <w:rPr>
          <w:color w:val="231F20"/>
          <w:spacing w:val="-23"/>
        </w:rPr>
        <w:t xml:space="preserve"> </w:t>
      </w:r>
      <w:r>
        <w:rPr>
          <w:color w:val="231F20"/>
        </w:rPr>
        <w:t>as</w:t>
      </w:r>
      <w:r>
        <w:rPr>
          <w:color w:val="231F20"/>
          <w:spacing w:val="-23"/>
        </w:rPr>
        <w:t xml:space="preserve"> </w:t>
      </w:r>
      <w:r>
        <w:rPr>
          <w:color w:val="231F20"/>
        </w:rPr>
        <w:t>opções</w:t>
      </w:r>
      <w:r>
        <w:rPr>
          <w:color w:val="231F20"/>
          <w:spacing w:val="-23"/>
        </w:rPr>
        <w:t xml:space="preserve"> </w:t>
      </w:r>
      <w:r>
        <w:rPr>
          <w:color w:val="231F20"/>
        </w:rPr>
        <w:t>de</w:t>
      </w:r>
      <w:r>
        <w:rPr>
          <w:color w:val="231F20"/>
          <w:spacing w:val="-23"/>
        </w:rPr>
        <w:t xml:space="preserve"> </w:t>
      </w:r>
      <w:r>
        <w:rPr>
          <w:color w:val="231F20"/>
        </w:rPr>
        <w:t>regimes</w:t>
      </w:r>
      <w:r>
        <w:rPr>
          <w:color w:val="231F20"/>
          <w:spacing w:val="-22"/>
        </w:rPr>
        <w:t xml:space="preserve"> </w:t>
      </w:r>
      <w:r>
        <w:rPr>
          <w:color w:val="231F20"/>
        </w:rPr>
        <w:t>tributários</w:t>
      </w:r>
      <w:r>
        <w:rPr>
          <w:color w:val="231F20"/>
          <w:spacing w:val="-23"/>
        </w:rPr>
        <w:t xml:space="preserve"> </w:t>
      </w:r>
      <w:r>
        <w:rPr>
          <w:color w:val="231F20"/>
        </w:rPr>
        <w:t>disponibilizados</w:t>
      </w:r>
      <w:r>
        <w:rPr>
          <w:color w:val="231F20"/>
          <w:spacing w:val="-23"/>
        </w:rPr>
        <w:t xml:space="preserve"> </w:t>
      </w:r>
      <w:r>
        <w:rPr>
          <w:color w:val="231F20"/>
          <w:spacing w:val="-4"/>
        </w:rPr>
        <w:t>pela</w:t>
      </w:r>
      <w:r>
        <w:rPr>
          <w:color w:val="231F20"/>
        </w:rPr>
        <w:t xml:space="preserve"> legislação,</w:t>
      </w:r>
      <w:r>
        <w:rPr>
          <w:color w:val="231F20"/>
          <w:spacing w:val="-11"/>
        </w:rPr>
        <w:t xml:space="preserve"> </w:t>
      </w:r>
      <w:r>
        <w:rPr>
          <w:color w:val="231F20"/>
        </w:rPr>
        <w:t>no</w:t>
      </w:r>
      <w:r>
        <w:rPr>
          <w:color w:val="231F20"/>
          <w:spacing w:val="-11"/>
        </w:rPr>
        <w:t xml:space="preserve"> </w:t>
      </w:r>
      <w:r>
        <w:rPr>
          <w:color w:val="231F20"/>
        </w:rPr>
        <w:t>caso</w:t>
      </w:r>
      <w:r>
        <w:rPr>
          <w:color w:val="231F20"/>
          <w:spacing w:val="-11"/>
        </w:rPr>
        <w:t xml:space="preserve"> </w:t>
      </w:r>
      <w:r>
        <w:rPr>
          <w:color w:val="231F20"/>
        </w:rPr>
        <w:t>da</w:t>
      </w:r>
      <w:r>
        <w:rPr>
          <w:color w:val="231F20"/>
          <w:spacing w:val="-11"/>
        </w:rPr>
        <w:t xml:space="preserve"> </w:t>
      </w:r>
      <w:r>
        <w:rPr>
          <w:color w:val="231F20"/>
        </w:rPr>
        <w:t>empresa</w:t>
      </w:r>
      <w:r>
        <w:rPr>
          <w:color w:val="231F20"/>
          <w:spacing w:val="-11"/>
        </w:rPr>
        <w:t xml:space="preserve"> </w:t>
      </w:r>
      <w:r>
        <w:rPr>
          <w:color w:val="231F20"/>
        </w:rPr>
        <w:t>em</w:t>
      </w:r>
      <w:r>
        <w:rPr>
          <w:color w:val="231F20"/>
          <w:spacing w:val="-11"/>
        </w:rPr>
        <w:t xml:space="preserve"> </w:t>
      </w:r>
      <w:r>
        <w:rPr>
          <w:color w:val="231F20"/>
        </w:rPr>
        <w:t>pauta,</w:t>
      </w:r>
      <w:r>
        <w:rPr>
          <w:color w:val="231F20"/>
          <w:spacing w:val="-11"/>
        </w:rPr>
        <w:t xml:space="preserve"> </w:t>
      </w:r>
      <w:r>
        <w:rPr>
          <w:color w:val="231F20"/>
        </w:rPr>
        <w:t>têm-se</w:t>
      </w:r>
      <w:r>
        <w:rPr>
          <w:color w:val="231F20"/>
          <w:spacing w:val="-11"/>
        </w:rPr>
        <w:t xml:space="preserve"> </w:t>
      </w:r>
      <w:r>
        <w:rPr>
          <w:color w:val="231F20"/>
        </w:rPr>
        <w:t>os</w:t>
      </w:r>
      <w:r>
        <w:rPr>
          <w:color w:val="231F20"/>
          <w:spacing w:val="-11"/>
        </w:rPr>
        <w:t xml:space="preserve"> </w:t>
      </w:r>
      <w:r>
        <w:rPr>
          <w:color w:val="231F20"/>
        </w:rPr>
        <w:t>regimes</w:t>
      </w:r>
      <w:r>
        <w:rPr>
          <w:color w:val="231F20"/>
          <w:spacing w:val="-11"/>
        </w:rPr>
        <w:t xml:space="preserve"> </w:t>
      </w:r>
      <w:r>
        <w:rPr>
          <w:color w:val="231F20"/>
        </w:rPr>
        <w:t>do lucro real, do lucro presumido e do Simples Nacional.</w:t>
      </w:r>
      <w:r>
        <w:rPr>
          <w:color w:val="231F20"/>
          <w:spacing w:val="28"/>
        </w:rPr>
        <w:t xml:space="preserve"> </w:t>
      </w:r>
      <w:r w:rsidR="00213E2B">
        <w:rPr>
          <w:color w:val="231F20"/>
          <w:spacing w:val="28"/>
        </w:rPr>
        <w:t>No presente caso por</w:t>
      </w:r>
      <w:r>
        <w:rPr>
          <w:color w:val="231F20"/>
          <w:spacing w:val="4"/>
        </w:rPr>
        <w:t xml:space="preserve"> </w:t>
      </w:r>
      <w:r>
        <w:rPr>
          <w:color w:val="231F20"/>
        </w:rPr>
        <w:t>se</w:t>
      </w:r>
      <w:r>
        <w:rPr>
          <w:color w:val="231F20"/>
          <w:spacing w:val="-1"/>
        </w:rPr>
        <w:t xml:space="preserve"> </w:t>
      </w:r>
      <w:r>
        <w:rPr>
          <w:color w:val="231F20"/>
        </w:rPr>
        <w:t>tratar</w:t>
      </w:r>
      <w:r>
        <w:rPr>
          <w:color w:val="231F20"/>
          <w:spacing w:val="9"/>
        </w:rPr>
        <w:t xml:space="preserve"> </w:t>
      </w:r>
      <w:r>
        <w:rPr>
          <w:color w:val="231F20"/>
        </w:rPr>
        <w:t>de</w:t>
      </w:r>
      <w:r>
        <w:rPr>
          <w:color w:val="231F20"/>
          <w:spacing w:val="10"/>
        </w:rPr>
        <w:t xml:space="preserve"> </w:t>
      </w:r>
      <w:r>
        <w:rPr>
          <w:color w:val="231F20"/>
        </w:rPr>
        <w:t>uma</w:t>
      </w:r>
      <w:r>
        <w:rPr>
          <w:color w:val="231F20"/>
          <w:spacing w:val="9"/>
        </w:rPr>
        <w:t xml:space="preserve"> </w:t>
      </w:r>
      <w:r>
        <w:rPr>
          <w:color w:val="231F20"/>
        </w:rPr>
        <w:t>empresa</w:t>
      </w:r>
      <w:r>
        <w:rPr>
          <w:color w:val="231F20"/>
          <w:spacing w:val="10"/>
        </w:rPr>
        <w:t xml:space="preserve"> </w:t>
      </w:r>
      <w:r>
        <w:rPr>
          <w:color w:val="231F20"/>
        </w:rPr>
        <w:t>que</w:t>
      </w:r>
      <w:r>
        <w:rPr>
          <w:color w:val="231F20"/>
          <w:spacing w:val="9"/>
        </w:rPr>
        <w:t xml:space="preserve"> </w:t>
      </w:r>
      <w:r w:rsidRPr="00981679">
        <w:rPr>
          <w:color w:val="FF0000"/>
        </w:rPr>
        <w:t>fatura</w:t>
      </w:r>
      <w:r w:rsidRPr="00981679">
        <w:rPr>
          <w:color w:val="FF0000"/>
          <w:spacing w:val="10"/>
        </w:rPr>
        <w:t xml:space="preserve"> </w:t>
      </w:r>
      <w:r w:rsidRPr="00981679">
        <w:rPr>
          <w:color w:val="FF0000"/>
        </w:rPr>
        <w:t>acima</w:t>
      </w:r>
      <w:r w:rsidRPr="00981679">
        <w:rPr>
          <w:color w:val="FF0000"/>
          <w:spacing w:val="9"/>
        </w:rPr>
        <w:t xml:space="preserve"> </w:t>
      </w:r>
      <w:r w:rsidRPr="00981679">
        <w:rPr>
          <w:color w:val="FF0000"/>
        </w:rPr>
        <w:t>de</w:t>
      </w:r>
      <w:r w:rsidRPr="00981679">
        <w:rPr>
          <w:color w:val="FF0000"/>
          <w:spacing w:val="10"/>
        </w:rPr>
        <w:t xml:space="preserve"> </w:t>
      </w:r>
      <w:r w:rsidRPr="00981679">
        <w:rPr>
          <w:color w:val="FF0000"/>
        </w:rPr>
        <w:t>R$</w:t>
      </w:r>
      <w:r w:rsidR="00213E2B" w:rsidRPr="00981679">
        <w:rPr>
          <w:color w:val="FF0000"/>
        </w:rPr>
        <w:t xml:space="preserve"> </w:t>
      </w:r>
      <w:r w:rsidRPr="00981679">
        <w:rPr>
          <w:color w:val="FF0000"/>
        </w:rPr>
        <w:t>0,00 por ano</w:t>
      </w:r>
      <w:r>
        <w:rPr>
          <w:color w:val="231F20"/>
        </w:rPr>
        <w:t>, o Simples Nacional não se enquadra, pois</w:t>
      </w:r>
      <w:r>
        <w:rPr>
          <w:color w:val="231F20"/>
          <w:spacing w:val="21"/>
        </w:rPr>
        <w:t xml:space="preserve"> </w:t>
      </w:r>
      <w:r>
        <w:rPr>
          <w:color w:val="231F20"/>
        </w:rPr>
        <w:t>seu</w:t>
      </w:r>
      <w:r>
        <w:rPr>
          <w:color w:val="231F20"/>
          <w:spacing w:val="3"/>
        </w:rPr>
        <w:t xml:space="preserve"> </w:t>
      </w:r>
      <w:r>
        <w:rPr>
          <w:color w:val="231F20"/>
        </w:rPr>
        <w:t>limite de</w:t>
      </w:r>
      <w:r>
        <w:rPr>
          <w:color w:val="231F20"/>
          <w:spacing w:val="-11"/>
        </w:rPr>
        <w:t xml:space="preserve"> </w:t>
      </w:r>
      <w:r>
        <w:rPr>
          <w:color w:val="231F20"/>
        </w:rPr>
        <w:t>faturamento</w:t>
      </w:r>
      <w:r>
        <w:rPr>
          <w:color w:val="231F20"/>
          <w:spacing w:val="-11"/>
        </w:rPr>
        <w:t xml:space="preserve"> </w:t>
      </w:r>
      <w:r>
        <w:rPr>
          <w:color w:val="231F20"/>
        </w:rPr>
        <w:t>é</w:t>
      </w:r>
      <w:r>
        <w:rPr>
          <w:color w:val="231F20"/>
          <w:spacing w:val="-11"/>
        </w:rPr>
        <w:t xml:space="preserve"> </w:t>
      </w:r>
      <w:r>
        <w:rPr>
          <w:color w:val="231F20"/>
        </w:rPr>
        <w:t>de</w:t>
      </w:r>
      <w:r>
        <w:rPr>
          <w:color w:val="231F20"/>
          <w:spacing w:val="-11"/>
        </w:rPr>
        <w:t xml:space="preserve"> </w:t>
      </w:r>
      <w:r>
        <w:rPr>
          <w:color w:val="231F20"/>
        </w:rPr>
        <w:t>R$</w:t>
      </w:r>
      <w:r w:rsidR="00213E2B">
        <w:rPr>
          <w:color w:val="231F20"/>
        </w:rPr>
        <w:t xml:space="preserve"> </w:t>
      </w:r>
      <w:r>
        <w:rPr>
          <w:color w:val="231F20"/>
        </w:rPr>
        <w:t>3.600.000,00.</w:t>
      </w:r>
      <w:r>
        <w:rPr>
          <w:color w:val="231F20"/>
          <w:spacing w:val="-11"/>
        </w:rPr>
        <w:t xml:space="preserve"> </w:t>
      </w:r>
      <w:r>
        <w:rPr>
          <w:color w:val="231F20"/>
        </w:rPr>
        <w:t>Portanto,</w:t>
      </w:r>
      <w:r>
        <w:rPr>
          <w:color w:val="231F20"/>
          <w:spacing w:val="-11"/>
        </w:rPr>
        <w:t xml:space="preserve"> </w:t>
      </w:r>
      <w:r>
        <w:rPr>
          <w:color w:val="231F20"/>
        </w:rPr>
        <w:t>seguem</w:t>
      </w:r>
      <w:r>
        <w:rPr>
          <w:color w:val="231F20"/>
          <w:spacing w:val="-10"/>
        </w:rPr>
        <w:t xml:space="preserve"> </w:t>
      </w:r>
      <w:r>
        <w:rPr>
          <w:color w:val="231F20"/>
        </w:rPr>
        <w:t>abaixo detalhes sobre os regimes do lucro presumido e do lucro</w:t>
      </w:r>
      <w:r>
        <w:rPr>
          <w:color w:val="231F20"/>
          <w:spacing w:val="-5"/>
        </w:rPr>
        <w:t xml:space="preserve"> </w:t>
      </w:r>
      <w:r>
        <w:rPr>
          <w:color w:val="231F20"/>
        </w:rPr>
        <w:t>real.</w:t>
      </w:r>
    </w:p>
    <w:p w:rsidR="00601DCA" w:rsidRDefault="00601DCA" w:rsidP="00891971">
      <w:pPr>
        <w:pStyle w:val="Corpodetexto"/>
        <w:ind w:firstLine="283"/>
        <w:jc w:val="both"/>
      </w:pPr>
    </w:p>
    <w:p w:rsidR="00601DCA" w:rsidRDefault="00601DCA" w:rsidP="00891971">
      <w:pPr>
        <w:pStyle w:val="Corpodetexto"/>
        <w:jc w:val="both"/>
        <w:rPr>
          <w:color w:val="231F20"/>
        </w:rPr>
      </w:pPr>
      <w:r>
        <w:rPr>
          <w:color w:val="231F20"/>
        </w:rPr>
        <w:t xml:space="preserve">No caso do lucro real, o fato jurídico que corresponde à aquisição de disponibilidade econômica de receita será a existência de acréscimo patrimonial, dimensionado </w:t>
      </w:r>
      <w:r>
        <w:rPr>
          <w:color w:val="231F20"/>
          <w:spacing w:val="-3"/>
        </w:rPr>
        <w:t xml:space="preserve">pelo </w:t>
      </w:r>
      <w:r>
        <w:rPr>
          <w:color w:val="231F20"/>
        </w:rPr>
        <w:t>lucro do exercício, ou seja, a obtenção de resultados</w:t>
      </w:r>
      <w:r>
        <w:rPr>
          <w:color w:val="231F20"/>
          <w:spacing w:val="-22"/>
        </w:rPr>
        <w:t xml:space="preserve"> </w:t>
      </w:r>
      <w:r>
        <w:rPr>
          <w:color w:val="231F20"/>
        </w:rPr>
        <w:t>positivos (lucros) em suas</w:t>
      </w:r>
      <w:r>
        <w:rPr>
          <w:color w:val="231F20"/>
          <w:spacing w:val="-2"/>
        </w:rPr>
        <w:t xml:space="preserve"> </w:t>
      </w:r>
      <w:r>
        <w:rPr>
          <w:color w:val="231F20"/>
        </w:rPr>
        <w:t>operações.</w:t>
      </w:r>
    </w:p>
    <w:p w:rsidR="00601DCA" w:rsidRDefault="00601DCA" w:rsidP="00891971">
      <w:pPr>
        <w:pStyle w:val="Corpodetexto"/>
        <w:jc w:val="both"/>
      </w:pPr>
    </w:p>
    <w:p w:rsidR="00601DCA" w:rsidRDefault="00601DCA" w:rsidP="00891971">
      <w:pPr>
        <w:pStyle w:val="Corpodetexto"/>
        <w:jc w:val="both"/>
        <w:rPr>
          <w:color w:val="231F20"/>
        </w:rPr>
      </w:pPr>
      <w:r>
        <w:rPr>
          <w:color w:val="231F20"/>
        </w:rPr>
        <w:t>De acordo com a Lei nº 9.430/1996, além do imposto de renda da pessoa jurídica, também incide sobre o lucro das empresas a Contribuição Social sobre o Lucro Líquido, sendo este último imposto recolhido para o financiamento da seguridade social.</w:t>
      </w:r>
    </w:p>
    <w:p w:rsidR="00823DDA" w:rsidRDefault="00823DDA" w:rsidP="00891971">
      <w:pPr>
        <w:pStyle w:val="Corpodetexto"/>
        <w:jc w:val="both"/>
      </w:pPr>
    </w:p>
    <w:p w:rsidR="00601DCA" w:rsidRDefault="00601DCA" w:rsidP="00891971">
      <w:pPr>
        <w:pStyle w:val="Corpodetexto"/>
        <w:jc w:val="both"/>
      </w:pPr>
      <w:r>
        <w:rPr>
          <w:color w:val="231F20"/>
        </w:rPr>
        <w:t>O lucro real é a única metodologia que calcula o lucro se baseando no lucro contábil, que será a base do</w:t>
      </w:r>
      <w:r w:rsidR="00A30AB2">
        <w:rPr>
          <w:color w:val="231F20"/>
        </w:rPr>
        <w:t xml:space="preserve"> </w:t>
      </w:r>
      <w:r>
        <w:rPr>
          <w:color w:val="231F20"/>
        </w:rPr>
        <w:t>IRPJ (Imposto de Renda Pessoa Jurídica) e da CSLL (Contribuição Social sobre o Lucro). As demais presumem ou arbitram o lucro, de acordo</w:t>
      </w:r>
      <w:r>
        <w:rPr>
          <w:color w:val="231F20"/>
          <w:spacing w:val="-10"/>
        </w:rPr>
        <w:t xml:space="preserve"> </w:t>
      </w:r>
      <w:r>
        <w:rPr>
          <w:color w:val="231F20"/>
        </w:rPr>
        <w:t>com</w:t>
      </w:r>
      <w:r>
        <w:rPr>
          <w:color w:val="231F20"/>
          <w:spacing w:val="-9"/>
        </w:rPr>
        <w:t xml:space="preserve"> </w:t>
      </w:r>
      <w:r>
        <w:rPr>
          <w:color w:val="231F20"/>
        </w:rPr>
        <w:t>regras</w:t>
      </w:r>
      <w:r>
        <w:rPr>
          <w:color w:val="231F20"/>
          <w:spacing w:val="-9"/>
        </w:rPr>
        <w:t xml:space="preserve"> </w:t>
      </w:r>
      <w:r>
        <w:rPr>
          <w:color w:val="231F20"/>
        </w:rPr>
        <w:t>preestabelecidas</w:t>
      </w:r>
      <w:r>
        <w:rPr>
          <w:color w:val="231F20"/>
          <w:spacing w:val="-9"/>
        </w:rPr>
        <w:t xml:space="preserve"> </w:t>
      </w:r>
      <w:r>
        <w:rPr>
          <w:color w:val="231F20"/>
        </w:rPr>
        <w:t>pela</w:t>
      </w:r>
      <w:r>
        <w:rPr>
          <w:color w:val="231F20"/>
          <w:spacing w:val="-9"/>
        </w:rPr>
        <w:t xml:space="preserve"> </w:t>
      </w:r>
      <w:r>
        <w:rPr>
          <w:color w:val="231F20"/>
        </w:rPr>
        <w:t>legislação.</w:t>
      </w:r>
      <w:r>
        <w:rPr>
          <w:color w:val="231F20"/>
          <w:spacing w:val="-9"/>
        </w:rPr>
        <w:t xml:space="preserve"> </w:t>
      </w:r>
      <w:r>
        <w:rPr>
          <w:color w:val="231F20"/>
        </w:rPr>
        <w:t>O</w:t>
      </w:r>
      <w:r>
        <w:rPr>
          <w:color w:val="231F20"/>
          <w:spacing w:val="-9"/>
        </w:rPr>
        <w:t xml:space="preserve"> </w:t>
      </w:r>
      <w:r>
        <w:rPr>
          <w:color w:val="231F20"/>
        </w:rPr>
        <w:t xml:space="preserve">simples nacional, por sua vez, calcula os impostos baseando-se </w:t>
      </w:r>
      <w:r>
        <w:rPr>
          <w:color w:val="231F20"/>
          <w:spacing w:val="-6"/>
        </w:rPr>
        <w:t xml:space="preserve">no </w:t>
      </w:r>
      <w:r>
        <w:rPr>
          <w:color w:val="231F20"/>
        </w:rPr>
        <w:t>faturamento.</w:t>
      </w:r>
    </w:p>
    <w:p w:rsidR="00823DDA" w:rsidRDefault="00823DDA" w:rsidP="00891971">
      <w:pPr>
        <w:pStyle w:val="Corpodetexto"/>
        <w:jc w:val="both"/>
        <w:rPr>
          <w:color w:val="231F20"/>
        </w:rPr>
      </w:pPr>
    </w:p>
    <w:p w:rsidR="00601DCA" w:rsidRDefault="00601DCA" w:rsidP="00891971">
      <w:pPr>
        <w:pStyle w:val="Corpodetexto"/>
        <w:jc w:val="both"/>
      </w:pPr>
      <w:r>
        <w:rPr>
          <w:color w:val="231F20"/>
        </w:rPr>
        <w:t>No caso do lucro real, em termos de planejamento tributário, deve-se ficar atento às desvantagens da opção pelo lucro real trimestral, pois:</w:t>
      </w:r>
    </w:p>
    <w:p w:rsidR="00601DCA" w:rsidRDefault="00601DCA" w:rsidP="00891971">
      <w:pPr>
        <w:pStyle w:val="Corpodetexto"/>
        <w:jc w:val="both"/>
        <w:rPr>
          <w:color w:val="231F20"/>
        </w:rPr>
      </w:pPr>
    </w:p>
    <w:p w:rsidR="00601DCA" w:rsidRDefault="00601DCA" w:rsidP="00891971">
      <w:pPr>
        <w:pStyle w:val="Corpodetexto"/>
        <w:jc w:val="both"/>
      </w:pPr>
      <w:r>
        <w:rPr>
          <w:color w:val="231F20"/>
        </w:rPr>
        <w:t>O lucro apurado em um trimestre no ano calendário não pode absorver prejuízo fiscal que venha a ocorrer em trimestres</w:t>
      </w:r>
      <w:r>
        <w:rPr>
          <w:color w:val="231F20"/>
          <w:spacing w:val="-1"/>
        </w:rPr>
        <w:t xml:space="preserve"> </w:t>
      </w:r>
      <w:r>
        <w:rPr>
          <w:color w:val="231F20"/>
        </w:rPr>
        <w:t>subsequentes.</w:t>
      </w:r>
    </w:p>
    <w:p w:rsidR="00601DCA" w:rsidRDefault="00601DCA" w:rsidP="00891971">
      <w:pPr>
        <w:pStyle w:val="Corpodetexto"/>
        <w:jc w:val="both"/>
        <w:rPr>
          <w:color w:val="231F20"/>
        </w:rPr>
      </w:pPr>
    </w:p>
    <w:p w:rsidR="00601DCA" w:rsidRDefault="00601DCA" w:rsidP="00891971">
      <w:pPr>
        <w:pStyle w:val="Corpodetexto"/>
        <w:jc w:val="both"/>
      </w:pPr>
      <w:r>
        <w:rPr>
          <w:color w:val="231F20"/>
        </w:rPr>
        <w:t>O prejuízo fiscal ou a base negativa da CSLL</w:t>
      </w:r>
      <w:r>
        <w:rPr>
          <w:color w:val="231F20"/>
          <w:spacing w:val="-10"/>
        </w:rPr>
        <w:t xml:space="preserve"> </w:t>
      </w:r>
      <w:r>
        <w:rPr>
          <w:color w:val="231F20"/>
        </w:rPr>
        <w:t>de</w:t>
      </w:r>
      <w:r>
        <w:rPr>
          <w:color w:val="231F20"/>
          <w:spacing w:val="42"/>
        </w:rPr>
        <w:t xml:space="preserve"> </w:t>
      </w:r>
      <w:r>
        <w:rPr>
          <w:color w:val="231F20"/>
        </w:rPr>
        <w:t>um trimestre</w:t>
      </w:r>
      <w:r>
        <w:rPr>
          <w:color w:val="231F20"/>
          <w:spacing w:val="-9"/>
        </w:rPr>
        <w:t xml:space="preserve"> </w:t>
      </w:r>
      <w:r>
        <w:rPr>
          <w:color w:val="231F20"/>
        </w:rPr>
        <w:t>só</w:t>
      </w:r>
      <w:r>
        <w:rPr>
          <w:color w:val="231F20"/>
          <w:spacing w:val="-9"/>
        </w:rPr>
        <w:t xml:space="preserve"> </w:t>
      </w:r>
      <w:r>
        <w:rPr>
          <w:color w:val="231F20"/>
        </w:rPr>
        <w:t>pode</w:t>
      </w:r>
      <w:r>
        <w:rPr>
          <w:color w:val="231F20"/>
          <w:spacing w:val="-9"/>
        </w:rPr>
        <w:t xml:space="preserve"> </w:t>
      </w:r>
      <w:r>
        <w:rPr>
          <w:color w:val="231F20"/>
        </w:rPr>
        <w:t>reduzir,</w:t>
      </w:r>
      <w:r>
        <w:rPr>
          <w:color w:val="231F20"/>
          <w:spacing w:val="-9"/>
        </w:rPr>
        <w:t xml:space="preserve"> </w:t>
      </w:r>
      <w:r>
        <w:rPr>
          <w:color w:val="231F20"/>
        </w:rPr>
        <w:t>no</w:t>
      </w:r>
      <w:r>
        <w:rPr>
          <w:color w:val="231F20"/>
          <w:spacing w:val="-8"/>
        </w:rPr>
        <w:t xml:space="preserve"> </w:t>
      </w:r>
      <w:r>
        <w:rPr>
          <w:color w:val="231F20"/>
        </w:rPr>
        <w:t>máximo,</w:t>
      </w:r>
      <w:r>
        <w:rPr>
          <w:color w:val="231F20"/>
          <w:spacing w:val="-9"/>
        </w:rPr>
        <w:t xml:space="preserve"> </w:t>
      </w:r>
      <w:r>
        <w:rPr>
          <w:color w:val="231F20"/>
        </w:rPr>
        <w:t>em</w:t>
      </w:r>
      <w:r>
        <w:rPr>
          <w:color w:val="231F20"/>
          <w:spacing w:val="-9"/>
        </w:rPr>
        <w:t xml:space="preserve"> </w:t>
      </w:r>
      <w:r>
        <w:rPr>
          <w:color w:val="231F20"/>
        </w:rPr>
        <w:t>30%</w:t>
      </w:r>
      <w:r>
        <w:rPr>
          <w:color w:val="231F20"/>
          <w:spacing w:val="-9"/>
        </w:rPr>
        <w:t xml:space="preserve"> </w:t>
      </w:r>
      <w:r>
        <w:rPr>
          <w:color w:val="231F20"/>
        </w:rPr>
        <w:t>o</w:t>
      </w:r>
      <w:r>
        <w:rPr>
          <w:color w:val="231F20"/>
          <w:spacing w:val="-9"/>
        </w:rPr>
        <w:t xml:space="preserve"> </w:t>
      </w:r>
      <w:r>
        <w:rPr>
          <w:color w:val="231F20"/>
        </w:rPr>
        <w:t>lucro</w:t>
      </w:r>
      <w:r>
        <w:rPr>
          <w:color w:val="231F20"/>
          <w:spacing w:val="-8"/>
        </w:rPr>
        <w:t xml:space="preserve"> </w:t>
      </w:r>
      <w:r>
        <w:rPr>
          <w:color w:val="231F20"/>
        </w:rPr>
        <w:t>real,</w:t>
      </w:r>
      <w:r>
        <w:rPr>
          <w:color w:val="231F20"/>
          <w:spacing w:val="-9"/>
        </w:rPr>
        <w:t xml:space="preserve"> </w:t>
      </w:r>
      <w:r>
        <w:rPr>
          <w:color w:val="231F20"/>
          <w:spacing w:val="-6"/>
        </w:rPr>
        <w:t>ou</w:t>
      </w:r>
      <w:r>
        <w:rPr>
          <w:color w:val="231F20"/>
        </w:rPr>
        <w:t xml:space="preserve"> a base de cálculo positiva da CSLL, dos trimestres</w:t>
      </w:r>
      <w:r>
        <w:rPr>
          <w:color w:val="231F20"/>
          <w:spacing w:val="-10"/>
        </w:rPr>
        <w:t xml:space="preserve"> </w:t>
      </w:r>
      <w:r>
        <w:rPr>
          <w:color w:val="231F20"/>
        </w:rPr>
        <w:t>seguintes.</w:t>
      </w:r>
    </w:p>
    <w:p w:rsidR="00601DCA" w:rsidRDefault="00601DCA" w:rsidP="00891971">
      <w:pPr>
        <w:pStyle w:val="Corpodetexto"/>
        <w:jc w:val="both"/>
        <w:rPr>
          <w:color w:val="231F20"/>
        </w:rPr>
      </w:pPr>
    </w:p>
    <w:p w:rsidR="00601DCA" w:rsidRDefault="00601DCA" w:rsidP="00891971">
      <w:pPr>
        <w:pStyle w:val="Corpodetexto"/>
        <w:jc w:val="both"/>
      </w:pPr>
      <w:r>
        <w:rPr>
          <w:color w:val="231F20"/>
        </w:rPr>
        <w:t>O limite trimestral – R$ 60 mil – para não incidência</w:t>
      </w:r>
      <w:r w:rsidR="00823DDA">
        <w:rPr>
          <w:color w:val="231F20"/>
        </w:rPr>
        <w:t xml:space="preserve"> </w:t>
      </w:r>
      <w:r>
        <w:rPr>
          <w:color w:val="231F20"/>
        </w:rPr>
        <w:t>do adicional de 10% de IR é não cumulativo.</w:t>
      </w:r>
    </w:p>
    <w:p w:rsidR="00601DCA" w:rsidRDefault="00601DCA" w:rsidP="00891971">
      <w:pPr>
        <w:pStyle w:val="Corpodetexto"/>
        <w:jc w:val="both"/>
        <w:rPr>
          <w:color w:val="231F20"/>
        </w:rPr>
      </w:pPr>
    </w:p>
    <w:p w:rsidR="00601DCA" w:rsidRDefault="00601DCA" w:rsidP="00891971">
      <w:pPr>
        <w:pStyle w:val="Corpodetexto"/>
        <w:jc w:val="both"/>
      </w:pPr>
      <w:r>
        <w:rPr>
          <w:color w:val="231F20"/>
        </w:rPr>
        <w:t xml:space="preserve">O lucro contábil pode ser ajustado através de adições, de exclusões e de compensações que devem ser registradas </w:t>
      </w:r>
      <w:r>
        <w:rPr>
          <w:color w:val="231F20"/>
          <w:spacing w:val="-12"/>
        </w:rPr>
        <w:t xml:space="preserve">e </w:t>
      </w:r>
      <w:r>
        <w:rPr>
          <w:color w:val="231F20"/>
        </w:rPr>
        <w:t>apresentadas</w:t>
      </w:r>
      <w:r>
        <w:rPr>
          <w:color w:val="231F20"/>
          <w:spacing w:val="-20"/>
        </w:rPr>
        <w:t xml:space="preserve"> </w:t>
      </w:r>
      <w:r>
        <w:rPr>
          <w:color w:val="231F20"/>
        </w:rPr>
        <w:t>na</w:t>
      </w:r>
      <w:r>
        <w:rPr>
          <w:color w:val="231F20"/>
          <w:spacing w:val="-20"/>
        </w:rPr>
        <w:t xml:space="preserve"> </w:t>
      </w:r>
      <w:r>
        <w:rPr>
          <w:color w:val="231F20"/>
        </w:rPr>
        <w:t>respectiva</w:t>
      </w:r>
      <w:r>
        <w:rPr>
          <w:color w:val="231F20"/>
          <w:spacing w:val="-20"/>
        </w:rPr>
        <w:t xml:space="preserve"> </w:t>
      </w:r>
      <w:r>
        <w:rPr>
          <w:color w:val="231F20"/>
        </w:rPr>
        <w:t>Escrituração</w:t>
      </w:r>
      <w:r>
        <w:rPr>
          <w:color w:val="231F20"/>
          <w:spacing w:val="-20"/>
        </w:rPr>
        <w:t xml:space="preserve"> </w:t>
      </w:r>
      <w:r>
        <w:rPr>
          <w:color w:val="231F20"/>
        </w:rPr>
        <w:t>Contábil</w:t>
      </w:r>
      <w:r>
        <w:rPr>
          <w:color w:val="231F20"/>
          <w:spacing w:val="-20"/>
        </w:rPr>
        <w:t xml:space="preserve"> </w:t>
      </w:r>
      <w:r>
        <w:rPr>
          <w:color w:val="231F20"/>
        </w:rPr>
        <w:t>Fiscal</w:t>
      </w:r>
      <w:r>
        <w:rPr>
          <w:color w:val="231F20"/>
          <w:spacing w:val="-20"/>
        </w:rPr>
        <w:t xml:space="preserve"> </w:t>
      </w:r>
      <w:r>
        <w:rPr>
          <w:color w:val="231F20"/>
        </w:rPr>
        <w:t>(ECF). As alíquotas aplicadas para o cálculo dos impostos sobre o lucro variam em função da atividade da empresa (comércio ou serviço). Caso a empresa tenha receitas provenientes de diferentes atividades, as receitas deverão ser segregadas e os impostos (IRPJ e CSLL) calculados sobre o montante de</w:t>
      </w:r>
      <w:r>
        <w:rPr>
          <w:color w:val="231F20"/>
          <w:spacing w:val="-30"/>
        </w:rPr>
        <w:t xml:space="preserve"> </w:t>
      </w:r>
      <w:r>
        <w:rPr>
          <w:color w:val="231F20"/>
          <w:spacing w:val="-3"/>
        </w:rPr>
        <w:t xml:space="preserve">cada </w:t>
      </w:r>
      <w:r>
        <w:rPr>
          <w:color w:val="231F20"/>
        </w:rPr>
        <w:t>uma das receitas decorrentes das atividades realizadas.</w:t>
      </w:r>
    </w:p>
    <w:p w:rsidR="00601DCA" w:rsidRDefault="00601DCA" w:rsidP="00891971">
      <w:pPr>
        <w:pStyle w:val="Corpodetexto"/>
        <w:jc w:val="both"/>
        <w:rPr>
          <w:color w:val="231F20"/>
        </w:rPr>
      </w:pPr>
    </w:p>
    <w:p w:rsidR="00601DCA" w:rsidRDefault="00601DCA" w:rsidP="00891971">
      <w:pPr>
        <w:pStyle w:val="Corpodetexto"/>
        <w:jc w:val="both"/>
      </w:pPr>
      <w:r>
        <w:rPr>
          <w:color w:val="231F20"/>
        </w:rPr>
        <w:t xml:space="preserve">No lucro presumido, por sua vez, apenas o ICMS é </w:t>
      </w:r>
      <w:r>
        <w:rPr>
          <w:color w:val="231F20"/>
          <w:spacing w:val="-4"/>
        </w:rPr>
        <w:t xml:space="preserve">não </w:t>
      </w:r>
      <w:r>
        <w:rPr>
          <w:color w:val="231F20"/>
        </w:rPr>
        <w:t xml:space="preserve">cumulativo, para o qual se deve fazer a compensação </w:t>
      </w:r>
      <w:r>
        <w:rPr>
          <w:color w:val="231F20"/>
          <w:spacing w:val="-3"/>
        </w:rPr>
        <w:t xml:space="preserve">entre    </w:t>
      </w:r>
      <w:r>
        <w:rPr>
          <w:color w:val="231F20"/>
        </w:rPr>
        <w:t>o crédito na entrada e o débito na saída. Prejuízos fiscais não podem ser compensados visto que o imposto é</w:t>
      </w:r>
      <w:r>
        <w:rPr>
          <w:color w:val="231F20"/>
          <w:spacing w:val="30"/>
        </w:rPr>
        <w:t xml:space="preserve"> </w:t>
      </w:r>
      <w:r>
        <w:rPr>
          <w:color w:val="231F20"/>
        </w:rPr>
        <w:t>calculado mediante uma presunção do lucro sobre</w:t>
      </w:r>
      <w:r w:rsidR="00981679">
        <w:rPr>
          <w:color w:val="231F20"/>
        </w:rPr>
        <w:t xml:space="preserve"> </w:t>
      </w:r>
      <w:r>
        <w:rPr>
          <w:color w:val="231F20"/>
        </w:rPr>
        <w:t xml:space="preserve">o </w:t>
      </w:r>
      <w:r>
        <w:rPr>
          <w:color w:val="231F20"/>
        </w:rPr>
        <w:lastRenderedPageBreak/>
        <w:t>faturamento,  não levando em consideração a possibilidade de resultado negativo.</w:t>
      </w:r>
    </w:p>
    <w:p w:rsidR="00601DCA" w:rsidRDefault="00601DCA" w:rsidP="00891971">
      <w:pPr>
        <w:pStyle w:val="Corpodetexto"/>
        <w:jc w:val="both"/>
        <w:rPr>
          <w:color w:val="231F20"/>
        </w:rPr>
      </w:pPr>
    </w:p>
    <w:p w:rsidR="00601DCA" w:rsidRDefault="00601DCA" w:rsidP="00891971">
      <w:pPr>
        <w:pStyle w:val="Corpodetexto"/>
        <w:jc w:val="both"/>
        <w:rPr>
          <w:color w:val="231F20"/>
        </w:rPr>
      </w:pPr>
      <w:r>
        <w:rPr>
          <w:color w:val="231F20"/>
        </w:rPr>
        <w:t>Uma vez calculado o lucro, o qual é presumido através de alíquotas definidas em lei em função do segmento</w:t>
      </w:r>
      <w:r>
        <w:rPr>
          <w:color w:val="231F20"/>
          <w:spacing w:val="30"/>
        </w:rPr>
        <w:t xml:space="preserve"> </w:t>
      </w:r>
      <w:r>
        <w:rPr>
          <w:color w:val="231F20"/>
        </w:rPr>
        <w:t xml:space="preserve">de mercado, este se torna a base de cálculo para o IRPJ e </w:t>
      </w:r>
      <w:r>
        <w:rPr>
          <w:color w:val="231F20"/>
          <w:spacing w:val="-8"/>
        </w:rPr>
        <w:t xml:space="preserve">da </w:t>
      </w:r>
      <w:r>
        <w:rPr>
          <w:color w:val="231F20"/>
        </w:rPr>
        <w:t>CSLL.</w:t>
      </w:r>
      <w:r>
        <w:rPr>
          <w:color w:val="231F20"/>
          <w:spacing w:val="-4"/>
        </w:rPr>
        <w:t xml:space="preserve"> </w:t>
      </w:r>
      <w:r>
        <w:rPr>
          <w:color w:val="231F20"/>
        </w:rPr>
        <w:t>Para</w:t>
      </w:r>
      <w:r>
        <w:rPr>
          <w:color w:val="231F20"/>
          <w:spacing w:val="-5"/>
        </w:rPr>
        <w:t xml:space="preserve"> </w:t>
      </w:r>
      <w:r>
        <w:rPr>
          <w:color w:val="231F20"/>
        </w:rPr>
        <w:t>se</w:t>
      </w:r>
      <w:r>
        <w:rPr>
          <w:color w:val="231F20"/>
          <w:spacing w:val="-4"/>
        </w:rPr>
        <w:t xml:space="preserve"> </w:t>
      </w:r>
      <w:r>
        <w:rPr>
          <w:color w:val="231F20"/>
        </w:rPr>
        <w:t>calcular</w:t>
      </w:r>
      <w:r>
        <w:rPr>
          <w:color w:val="231F20"/>
          <w:spacing w:val="-5"/>
        </w:rPr>
        <w:t xml:space="preserve"> </w:t>
      </w:r>
      <w:r>
        <w:rPr>
          <w:color w:val="231F20"/>
        </w:rPr>
        <w:t>o</w:t>
      </w:r>
      <w:r>
        <w:rPr>
          <w:color w:val="231F20"/>
          <w:spacing w:val="-3"/>
        </w:rPr>
        <w:t xml:space="preserve"> </w:t>
      </w:r>
      <w:r>
        <w:rPr>
          <w:color w:val="231F20"/>
        </w:rPr>
        <w:t>imposto,</w:t>
      </w:r>
      <w:r>
        <w:rPr>
          <w:color w:val="231F20"/>
          <w:spacing w:val="-4"/>
        </w:rPr>
        <w:t xml:space="preserve"> </w:t>
      </w:r>
      <w:r>
        <w:rPr>
          <w:color w:val="231F20"/>
        </w:rPr>
        <w:t>as</w:t>
      </w:r>
      <w:r>
        <w:rPr>
          <w:color w:val="231F20"/>
          <w:spacing w:val="-4"/>
        </w:rPr>
        <w:t xml:space="preserve"> </w:t>
      </w:r>
      <w:r>
        <w:rPr>
          <w:color w:val="231F20"/>
        </w:rPr>
        <w:t>alíquotas</w:t>
      </w:r>
      <w:r>
        <w:rPr>
          <w:color w:val="231F20"/>
          <w:spacing w:val="-4"/>
        </w:rPr>
        <w:t xml:space="preserve"> </w:t>
      </w:r>
      <w:r>
        <w:rPr>
          <w:color w:val="231F20"/>
        </w:rPr>
        <w:t>são</w:t>
      </w:r>
      <w:r>
        <w:rPr>
          <w:color w:val="231F20"/>
          <w:spacing w:val="-5"/>
        </w:rPr>
        <w:t xml:space="preserve"> </w:t>
      </w:r>
      <w:r>
        <w:rPr>
          <w:color w:val="231F20"/>
        </w:rPr>
        <w:t>as</w:t>
      </w:r>
      <w:r>
        <w:rPr>
          <w:color w:val="231F20"/>
          <w:spacing w:val="-3"/>
        </w:rPr>
        <w:t xml:space="preserve"> </w:t>
      </w:r>
      <w:r>
        <w:rPr>
          <w:color w:val="231F20"/>
        </w:rPr>
        <w:t>mesmas do lucro real. O que muda é o limite – R$</w:t>
      </w:r>
      <w:r w:rsidR="00981679">
        <w:rPr>
          <w:color w:val="231F20"/>
        </w:rPr>
        <w:t xml:space="preserve"> </w:t>
      </w:r>
      <w:r>
        <w:rPr>
          <w:color w:val="231F20"/>
        </w:rPr>
        <w:t xml:space="preserve">20 mil por mês </w:t>
      </w:r>
      <w:r>
        <w:rPr>
          <w:color w:val="231F20"/>
          <w:spacing w:val="-13"/>
        </w:rPr>
        <w:t xml:space="preserve">– </w:t>
      </w:r>
      <w:r>
        <w:rPr>
          <w:color w:val="231F20"/>
        </w:rPr>
        <w:t xml:space="preserve">para não incidência do adicional de 10% do imposto de </w:t>
      </w:r>
      <w:r>
        <w:rPr>
          <w:color w:val="231F20"/>
          <w:spacing w:val="-3"/>
        </w:rPr>
        <w:t xml:space="preserve">renda </w:t>
      </w:r>
      <w:r>
        <w:rPr>
          <w:color w:val="231F20"/>
        </w:rPr>
        <w:t xml:space="preserve">sobre a parcela do lucro presumido, que exceder ao valor da multiplicação de R$ 20.000,00 (vinte mil reais) pelo </w:t>
      </w:r>
      <w:r>
        <w:rPr>
          <w:color w:val="231F20"/>
          <w:spacing w:val="-3"/>
        </w:rPr>
        <w:t xml:space="preserve">número </w:t>
      </w:r>
      <w:r>
        <w:rPr>
          <w:color w:val="231F20"/>
        </w:rPr>
        <w:t>de meses do r</w:t>
      </w:r>
      <w:r w:rsidR="00981679">
        <w:rPr>
          <w:color w:val="231F20"/>
        </w:rPr>
        <w:t>espectivo cálculo</w:t>
      </w:r>
      <w:r>
        <w:rPr>
          <w:color w:val="231F20"/>
        </w:rPr>
        <w:t>.</w:t>
      </w:r>
    </w:p>
    <w:p w:rsidR="00601DCA" w:rsidRDefault="00601DCA" w:rsidP="00891971">
      <w:pPr>
        <w:pStyle w:val="Corpodetexto"/>
        <w:jc w:val="both"/>
        <w:rPr>
          <w:color w:val="231F20"/>
        </w:rPr>
      </w:pPr>
    </w:p>
    <w:p w:rsidR="00601DCA" w:rsidRPr="00601DCA" w:rsidRDefault="00601DCA" w:rsidP="00891971">
      <w:pPr>
        <w:pStyle w:val="Corpodetexto"/>
        <w:jc w:val="both"/>
        <w:rPr>
          <w:b/>
        </w:rPr>
      </w:pPr>
      <w:r w:rsidRPr="00601DCA">
        <w:rPr>
          <w:b/>
          <w:color w:val="231F20"/>
        </w:rPr>
        <w:t xml:space="preserve">1.2 </w:t>
      </w:r>
      <w:r w:rsidRPr="00601DCA">
        <w:rPr>
          <w:b/>
          <w:color w:val="231F20"/>
          <w:w w:val="105"/>
        </w:rPr>
        <w:t xml:space="preserve">Planejamento Tributário no </w:t>
      </w:r>
      <w:r w:rsidR="000D60FA">
        <w:rPr>
          <w:b/>
          <w:color w:val="231F20"/>
          <w:w w:val="105"/>
        </w:rPr>
        <w:t>Contexto de uma Empresa</w:t>
      </w:r>
    </w:p>
    <w:p w:rsidR="000D60FA" w:rsidRDefault="000D60FA" w:rsidP="00891971">
      <w:pPr>
        <w:jc w:val="both"/>
        <w:rPr>
          <w:color w:val="231F20"/>
          <w:sz w:val="19"/>
        </w:rPr>
      </w:pPr>
      <w:r w:rsidRPr="000D60FA">
        <w:rPr>
          <w:color w:val="231F20"/>
          <w:sz w:val="19"/>
        </w:rPr>
        <w:t xml:space="preserve">Sempre que um novo exercício financeiro está começando, a empresa deve fazer um planejamento de todas as suas atividades, incluindo aquelas que são relacionadas ao pagamento de impostos e outros tributos. </w:t>
      </w:r>
    </w:p>
    <w:p w:rsidR="000D60FA" w:rsidRPr="000D60FA" w:rsidRDefault="000D60FA" w:rsidP="00891971">
      <w:pPr>
        <w:jc w:val="both"/>
        <w:rPr>
          <w:color w:val="231F20"/>
          <w:sz w:val="19"/>
        </w:rPr>
      </w:pPr>
      <w:r w:rsidRPr="000D60FA">
        <w:rPr>
          <w:color w:val="231F20"/>
          <w:sz w:val="19"/>
        </w:rPr>
        <w:t>A gestão tributária, portanto, pode ser conceituada como um método que objetiva encontrar meios contábeis e fiscais para reduzir o valor pago a título de tributos sobre cada operação ou produto.</w:t>
      </w:r>
    </w:p>
    <w:p w:rsidR="000D60FA" w:rsidRPr="000D60FA" w:rsidRDefault="000D60FA" w:rsidP="00891971">
      <w:pPr>
        <w:jc w:val="both"/>
        <w:rPr>
          <w:color w:val="231F20"/>
          <w:sz w:val="19"/>
        </w:rPr>
      </w:pPr>
    </w:p>
    <w:p w:rsidR="000D60FA" w:rsidRPr="000D60FA" w:rsidRDefault="000D60FA" w:rsidP="00891971">
      <w:pPr>
        <w:jc w:val="both"/>
        <w:rPr>
          <w:color w:val="231F20"/>
          <w:sz w:val="19"/>
        </w:rPr>
      </w:pPr>
      <w:r w:rsidRPr="000D60FA">
        <w:rPr>
          <w:color w:val="231F20"/>
          <w:sz w:val="19"/>
        </w:rPr>
        <w:t>Esse termo também é conhecido como elisão fiscal e não deve ser confundido com a evasão fiscal. Enquanto o segundo significa a sonegação de impostos e a realização de procedimentos que vão contra a lei, o primeiro tem a finalidade de encontrar formas legais de obter um custo fiscal menor. É claro que esse planejamento depende de dados confiáveis e regulares. Caso contrário, ficará sujeito a erros e apresentará estimativas e análises equivocadas, que podem causar prejuízos para o negócio.</w:t>
      </w:r>
    </w:p>
    <w:p w:rsidR="000D60FA" w:rsidRPr="000D60FA" w:rsidRDefault="000D60FA" w:rsidP="00891971">
      <w:pPr>
        <w:jc w:val="both"/>
        <w:rPr>
          <w:color w:val="231F20"/>
          <w:sz w:val="19"/>
        </w:rPr>
      </w:pPr>
    </w:p>
    <w:p w:rsidR="00774DD5" w:rsidRDefault="000D60FA" w:rsidP="00891971">
      <w:pPr>
        <w:jc w:val="both"/>
        <w:rPr>
          <w:color w:val="231F20"/>
          <w:sz w:val="19"/>
        </w:rPr>
      </w:pPr>
      <w:r w:rsidRPr="000D60FA">
        <w:rPr>
          <w:color w:val="231F20"/>
          <w:sz w:val="19"/>
        </w:rPr>
        <w:t>É importante lembrar que a elisão fiscal é uma das responsabilidades da Contabilidade, ciência que visa ao controle do patrimônio, análise de tributos e outras atividades necessárias para a gestão total do negócio. Por fazer um registro efetivo e permanente das operações da empresa, a Contabilidade é um pilar da gestão tributária, já que fornece os dados atualizados e necessários para que o planejamento seja realizado.</w:t>
      </w:r>
    </w:p>
    <w:p w:rsidR="000D60FA" w:rsidRDefault="000D60FA" w:rsidP="00891971">
      <w:pPr>
        <w:jc w:val="both"/>
        <w:rPr>
          <w:color w:val="231F20"/>
          <w:sz w:val="20"/>
        </w:rPr>
      </w:pPr>
    </w:p>
    <w:p w:rsidR="00774DD5" w:rsidRDefault="00774DD5" w:rsidP="00891971">
      <w:pPr>
        <w:jc w:val="both"/>
        <w:rPr>
          <w:b/>
          <w:sz w:val="19"/>
        </w:rPr>
      </w:pPr>
      <w:r w:rsidRPr="00774DD5">
        <w:rPr>
          <w:b/>
          <w:color w:val="231F20"/>
          <w:sz w:val="20"/>
        </w:rPr>
        <w:t>2.3.1 O</w:t>
      </w:r>
      <w:r>
        <w:rPr>
          <w:b/>
          <w:color w:val="231F20"/>
          <w:sz w:val="19"/>
        </w:rPr>
        <w:t>pções Tributárias para Constituição da Holding Familiar</w:t>
      </w:r>
    </w:p>
    <w:p w:rsidR="00774DD5" w:rsidRDefault="00774DD5" w:rsidP="00891971">
      <w:pPr>
        <w:pStyle w:val="Corpodetexto"/>
        <w:jc w:val="both"/>
      </w:pPr>
      <w:r>
        <w:rPr>
          <w:color w:val="231F20"/>
        </w:rPr>
        <w:t>Pelo</w:t>
      </w:r>
      <w:r>
        <w:rPr>
          <w:color w:val="231F20"/>
          <w:spacing w:val="-6"/>
        </w:rPr>
        <w:t xml:space="preserve"> </w:t>
      </w:r>
      <w:r>
        <w:rPr>
          <w:color w:val="231F20"/>
        </w:rPr>
        <w:t>fato</w:t>
      </w:r>
      <w:r>
        <w:rPr>
          <w:color w:val="231F20"/>
          <w:spacing w:val="-5"/>
        </w:rPr>
        <w:t xml:space="preserve"> </w:t>
      </w:r>
      <w:r>
        <w:rPr>
          <w:color w:val="231F20"/>
        </w:rPr>
        <w:t>da</w:t>
      </w:r>
      <w:r>
        <w:rPr>
          <w:color w:val="231F20"/>
          <w:spacing w:val="-6"/>
        </w:rPr>
        <w:t xml:space="preserve"> </w:t>
      </w:r>
      <w:r>
        <w:rPr>
          <w:color w:val="231F20"/>
        </w:rPr>
        <w:t>empresa</w:t>
      </w:r>
      <w:r w:rsidR="008C78A0">
        <w:rPr>
          <w:color w:val="231F20"/>
        </w:rPr>
        <w:t xml:space="preserve"> a ser criada</w:t>
      </w:r>
      <w:r>
        <w:rPr>
          <w:color w:val="231F20"/>
          <w:spacing w:val="-6"/>
        </w:rPr>
        <w:t xml:space="preserve"> </w:t>
      </w:r>
      <w:r>
        <w:rPr>
          <w:color w:val="231F20"/>
        </w:rPr>
        <w:t>se</w:t>
      </w:r>
      <w:r>
        <w:rPr>
          <w:color w:val="231F20"/>
          <w:spacing w:val="-5"/>
        </w:rPr>
        <w:t xml:space="preserve"> </w:t>
      </w:r>
      <w:r>
        <w:rPr>
          <w:color w:val="231F20"/>
        </w:rPr>
        <w:t>tratar</w:t>
      </w:r>
      <w:r>
        <w:rPr>
          <w:color w:val="231F20"/>
          <w:spacing w:val="-6"/>
        </w:rPr>
        <w:t xml:space="preserve"> </w:t>
      </w:r>
      <w:r>
        <w:rPr>
          <w:color w:val="231F20"/>
        </w:rPr>
        <w:t>de</w:t>
      </w:r>
      <w:r>
        <w:rPr>
          <w:color w:val="231F20"/>
          <w:spacing w:val="-5"/>
        </w:rPr>
        <w:t xml:space="preserve"> </w:t>
      </w:r>
      <w:r>
        <w:rPr>
          <w:color w:val="231F20"/>
        </w:rPr>
        <w:t>uma</w:t>
      </w:r>
      <w:r>
        <w:rPr>
          <w:color w:val="231F20"/>
          <w:spacing w:val="-6"/>
        </w:rPr>
        <w:t xml:space="preserve"> </w:t>
      </w:r>
      <w:r>
        <w:rPr>
          <w:color w:val="231F20"/>
        </w:rPr>
        <w:t>pessoa</w:t>
      </w:r>
      <w:r>
        <w:rPr>
          <w:color w:val="231F20"/>
          <w:spacing w:val="-5"/>
        </w:rPr>
        <w:t xml:space="preserve"> </w:t>
      </w:r>
      <w:r>
        <w:rPr>
          <w:color w:val="231F20"/>
        </w:rPr>
        <w:t>jurídica com faturamento anual por volta dos R$</w:t>
      </w:r>
      <w:r w:rsidR="008C78A0">
        <w:rPr>
          <w:color w:val="231F20"/>
        </w:rPr>
        <w:t xml:space="preserve"> </w:t>
      </w:r>
      <w:r>
        <w:rPr>
          <w:color w:val="231F20"/>
        </w:rPr>
        <w:t xml:space="preserve">0,00 </w:t>
      </w:r>
      <w:r>
        <w:rPr>
          <w:color w:val="231F20"/>
          <w:spacing w:val="-3"/>
        </w:rPr>
        <w:t>(</w:t>
      </w:r>
      <w:r>
        <w:rPr>
          <w:color w:val="231F20"/>
        </w:rPr>
        <w:t>reais), de acordo com a Lei Geral das Micro e Pequenas Empresas, essa se enquadra como uma empresa de médio porte, não podendo optar, dessa forma, pelo Simples Nacional que se limita a empresas de pequeno porte com até R$</w:t>
      </w:r>
      <w:r w:rsidR="008C78A0">
        <w:rPr>
          <w:color w:val="231F20"/>
        </w:rPr>
        <w:t xml:space="preserve"> </w:t>
      </w:r>
      <w:r>
        <w:rPr>
          <w:color w:val="231F20"/>
        </w:rPr>
        <w:t xml:space="preserve">4.800.000,00 de faturamento anual. Sendo assim, essa empresa poderá optar pelos regimes tributários do lucro </w:t>
      </w:r>
      <w:r>
        <w:rPr>
          <w:color w:val="231F20"/>
          <w:spacing w:val="-3"/>
        </w:rPr>
        <w:t xml:space="preserve">real </w:t>
      </w:r>
      <w:r>
        <w:rPr>
          <w:color w:val="231F20"/>
        </w:rPr>
        <w:t>e do lucro presumido. Portanto, o estudo que se segue tem por</w:t>
      </w:r>
      <w:r>
        <w:rPr>
          <w:color w:val="231F20"/>
          <w:spacing w:val="-5"/>
        </w:rPr>
        <w:t xml:space="preserve"> </w:t>
      </w:r>
      <w:r>
        <w:rPr>
          <w:color w:val="231F20"/>
        </w:rPr>
        <w:t>objetivo</w:t>
      </w:r>
      <w:r>
        <w:rPr>
          <w:color w:val="231F20"/>
          <w:spacing w:val="-5"/>
        </w:rPr>
        <w:t xml:space="preserve"> </w:t>
      </w:r>
      <w:r>
        <w:rPr>
          <w:color w:val="231F20"/>
        </w:rPr>
        <w:t>demonstrar</w:t>
      </w:r>
      <w:r>
        <w:rPr>
          <w:color w:val="231F20"/>
          <w:spacing w:val="-5"/>
        </w:rPr>
        <w:t xml:space="preserve"> </w:t>
      </w:r>
      <w:r>
        <w:rPr>
          <w:color w:val="231F20"/>
        </w:rPr>
        <w:t>as</w:t>
      </w:r>
      <w:r>
        <w:rPr>
          <w:color w:val="231F20"/>
          <w:spacing w:val="-4"/>
        </w:rPr>
        <w:t xml:space="preserve"> </w:t>
      </w:r>
      <w:r>
        <w:rPr>
          <w:color w:val="231F20"/>
        </w:rPr>
        <w:t>estimativas</w:t>
      </w:r>
      <w:r>
        <w:rPr>
          <w:color w:val="231F20"/>
          <w:spacing w:val="-5"/>
        </w:rPr>
        <w:t xml:space="preserve"> </w:t>
      </w:r>
      <w:r>
        <w:rPr>
          <w:color w:val="231F20"/>
        </w:rPr>
        <w:t>de</w:t>
      </w:r>
      <w:r>
        <w:rPr>
          <w:color w:val="231F20"/>
          <w:spacing w:val="-6"/>
        </w:rPr>
        <w:t xml:space="preserve"> </w:t>
      </w:r>
      <w:r>
        <w:rPr>
          <w:color w:val="231F20"/>
        </w:rPr>
        <w:t>resultado</w:t>
      </w:r>
      <w:r>
        <w:rPr>
          <w:color w:val="231F20"/>
          <w:spacing w:val="-6"/>
        </w:rPr>
        <w:t xml:space="preserve"> </w:t>
      </w:r>
      <w:r>
        <w:rPr>
          <w:color w:val="231F20"/>
        </w:rPr>
        <w:t>para</w:t>
      </w:r>
      <w:r>
        <w:rPr>
          <w:color w:val="231F20"/>
          <w:spacing w:val="-6"/>
        </w:rPr>
        <w:t xml:space="preserve"> </w:t>
      </w:r>
      <w:r>
        <w:rPr>
          <w:color w:val="231F20"/>
          <w:spacing w:val="-3"/>
        </w:rPr>
        <w:t xml:space="preserve">essas </w:t>
      </w:r>
      <w:r>
        <w:rPr>
          <w:color w:val="231F20"/>
        </w:rPr>
        <w:t>duas opções.</w:t>
      </w:r>
    </w:p>
    <w:p w:rsidR="009D70AE" w:rsidRDefault="009D70AE" w:rsidP="00891971">
      <w:pPr>
        <w:pStyle w:val="Corpodetexto"/>
        <w:jc w:val="both"/>
        <w:rPr>
          <w:color w:val="231F20"/>
        </w:rPr>
      </w:pPr>
    </w:p>
    <w:p w:rsidR="00774DD5" w:rsidRDefault="00774DD5" w:rsidP="00891971">
      <w:pPr>
        <w:pStyle w:val="Corpodetexto"/>
        <w:jc w:val="both"/>
        <w:rPr>
          <w:color w:val="231F20"/>
        </w:rPr>
      </w:pPr>
      <w:r>
        <w:rPr>
          <w:color w:val="231F20"/>
        </w:rPr>
        <w:t>O</w:t>
      </w:r>
      <w:r>
        <w:rPr>
          <w:color w:val="231F20"/>
          <w:spacing w:val="-9"/>
        </w:rPr>
        <w:t xml:space="preserve"> </w:t>
      </w:r>
      <w:r>
        <w:rPr>
          <w:color w:val="231F20"/>
        </w:rPr>
        <w:t>Quadro</w:t>
      </w:r>
      <w:r>
        <w:rPr>
          <w:color w:val="231F20"/>
          <w:spacing w:val="-9"/>
        </w:rPr>
        <w:t xml:space="preserve"> </w:t>
      </w:r>
      <w:r>
        <w:rPr>
          <w:color w:val="231F20"/>
        </w:rPr>
        <w:t>1</w:t>
      </w:r>
      <w:r>
        <w:rPr>
          <w:color w:val="231F20"/>
          <w:spacing w:val="-8"/>
        </w:rPr>
        <w:t xml:space="preserve"> </w:t>
      </w:r>
      <w:r>
        <w:rPr>
          <w:color w:val="231F20"/>
        </w:rPr>
        <w:t>demonstra</w:t>
      </w:r>
      <w:r>
        <w:rPr>
          <w:color w:val="231F20"/>
          <w:spacing w:val="-9"/>
        </w:rPr>
        <w:t xml:space="preserve"> </w:t>
      </w:r>
      <w:r>
        <w:rPr>
          <w:color w:val="231F20"/>
        </w:rPr>
        <w:t>o</w:t>
      </w:r>
      <w:r>
        <w:rPr>
          <w:color w:val="231F20"/>
          <w:spacing w:val="-8"/>
        </w:rPr>
        <w:t xml:space="preserve"> </w:t>
      </w:r>
      <w:r>
        <w:rPr>
          <w:color w:val="231F20"/>
        </w:rPr>
        <w:t>resultado</w:t>
      </w:r>
      <w:r>
        <w:rPr>
          <w:color w:val="231F20"/>
          <w:spacing w:val="-9"/>
        </w:rPr>
        <w:t xml:space="preserve"> </w:t>
      </w:r>
      <w:r>
        <w:rPr>
          <w:color w:val="231F20"/>
        </w:rPr>
        <w:t>líquido</w:t>
      </w:r>
      <w:r>
        <w:rPr>
          <w:color w:val="231F20"/>
          <w:spacing w:val="-8"/>
        </w:rPr>
        <w:t xml:space="preserve"> </w:t>
      </w:r>
      <w:r>
        <w:rPr>
          <w:color w:val="231F20"/>
        </w:rPr>
        <w:t>estimado</w:t>
      </w:r>
      <w:r>
        <w:rPr>
          <w:color w:val="231F20"/>
          <w:spacing w:val="-9"/>
        </w:rPr>
        <w:t xml:space="preserve"> </w:t>
      </w:r>
      <w:r>
        <w:rPr>
          <w:color w:val="231F20"/>
        </w:rPr>
        <w:t>para</w:t>
      </w:r>
      <w:r>
        <w:rPr>
          <w:color w:val="231F20"/>
          <w:spacing w:val="-8"/>
        </w:rPr>
        <w:t xml:space="preserve"> </w:t>
      </w:r>
      <w:r>
        <w:rPr>
          <w:color w:val="231F20"/>
        </w:rPr>
        <w:t>o caso da empresa optar pelo lucro real.</w:t>
      </w:r>
    </w:p>
    <w:p w:rsidR="00A30AB2" w:rsidRDefault="00A30AB2" w:rsidP="00891971">
      <w:pPr>
        <w:pStyle w:val="Corpodetexto"/>
        <w:jc w:val="both"/>
      </w:pPr>
    </w:p>
    <w:p w:rsidR="00774DD5" w:rsidRDefault="00774DD5" w:rsidP="00891971">
      <w:pPr>
        <w:jc w:val="both"/>
        <w:rPr>
          <w:sz w:val="18"/>
        </w:rPr>
      </w:pPr>
      <w:r>
        <w:rPr>
          <w:b/>
          <w:color w:val="231F20"/>
          <w:sz w:val="18"/>
        </w:rPr>
        <w:t xml:space="preserve">Quadro 1 </w:t>
      </w:r>
      <w:r>
        <w:rPr>
          <w:color w:val="231F20"/>
          <w:sz w:val="18"/>
        </w:rPr>
        <w:t>– Estimativa do Resultado pelo Lucro Real</w:t>
      </w:r>
    </w:p>
    <w:p w:rsidR="00774DD5" w:rsidRDefault="00774DD5" w:rsidP="00891971">
      <w:pPr>
        <w:pStyle w:val="Corpodetexto"/>
        <w:rPr>
          <w:sz w:val="3"/>
        </w:rPr>
      </w:pPr>
    </w:p>
    <w:tbl>
      <w:tblPr>
        <w:tblStyle w:val="TableNormal"/>
        <w:tblW w:w="439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122"/>
        <w:gridCol w:w="992"/>
        <w:gridCol w:w="1276"/>
      </w:tblGrid>
      <w:tr w:rsidR="00774DD5" w:rsidTr="00B03589">
        <w:trPr>
          <w:trHeight w:val="262"/>
        </w:trPr>
        <w:tc>
          <w:tcPr>
            <w:tcW w:w="4390" w:type="dxa"/>
            <w:gridSpan w:val="3"/>
          </w:tcPr>
          <w:p w:rsidR="00774DD5" w:rsidRDefault="00774DD5" w:rsidP="00B03589">
            <w:pPr>
              <w:pStyle w:val="TableParagraph"/>
              <w:spacing w:before="0" w:line="240" w:lineRule="auto"/>
              <w:jc w:val="center"/>
              <w:rPr>
                <w:b/>
                <w:sz w:val="18"/>
              </w:rPr>
            </w:pPr>
            <w:r>
              <w:rPr>
                <w:b/>
                <w:color w:val="231F20"/>
                <w:sz w:val="18"/>
              </w:rPr>
              <w:t>Regime Tributário – Lucro Real</w:t>
            </w:r>
          </w:p>
        </w:tc>
      </w:tr>
      <w:tr w:rsidR="00774DD5" w:rsidTr="00B03589">
        <w:trPr>
          <w:trHeight w:val="225"/>
        </w:trPr>
        <w:tc>
          <w:tcPr>
            <w:tcW w:w="2122" w:type="dxa"/>
          </w:tcPr>
          <w:p w:rsidR="00774DD5" w:rsidRDefault="00774DD5" w:rsidP="00891971">
            <w:pPr>
              <w:pStyle w:val="TableParagraph"/>
              <w:spacing w:before="0" w:line="240" w:lineRule="auto"/>
              <w:rPr>
                <w:b/>
                <w:sz w:val="18"/>
              </w:rPr>
            </w:pPr>
            <w:r>
              <w:rPr>
                <w:b/>
                <w:color w:val="231F20"/>
                <w:sz w:val="18"/>
              </w:rPr>
              <w:t>Receita Bruta</w:t>
            </w:r>
          </w:p>
        </w:tc>
        <w:tc>
          <w:tcPr>
            <w:tcW w:w="992" w:type="dxa"/>
          </w:tcPr>
          <w:p w:rsidR="00774DD5" w:rsidRDefault="00774DD5" w:rsidP="00891971">
            <w:pPr>
              <w:pStyle w:val="TableParagraph"/>
              <w:spacing w:before="0" w:line="240" w:lineRule="auto"/>
              <w:rPr>
                <w:sz w:val="16"/>
              </w:rPr>
            </w:pPr>
          </w:p>
        </w:tc>
        <w:tc>
          <w:tcPr>
            <w:tcW w:w="1276" w:type="dxa"/>
          </w:tcPr>
          <w:p w:rsidR="00774DD5" w:rsidRDefault="00774DD5" w:rsidP="00891971">
            <w:pPr>
              <w:pStyle w:val="TableParagraph"/>
              <w:spacing w:before="0" w:line="240" w:lineRule="auto"/>
              <w:jc w:val="right"/>
              <w:rPr>
                <w:b/>
                <w:sz w:val="18"/>
              </w:rPr>
            </w:pPr>
            <w:r>
              <w:rPr>
                <w:b/>
                <w:color w:val="231F20"/>
                <w:sz w:val="18"/>
              </w:rPr>
              <w:t>12.000.000,00</w:t>
            </w:r>
          </w:p>
        </w:tc>
      </w:tr>
      <w:tr w:rsidR="00774DD5" w:rsidTr="00B03589">
        <w:trPr>
          <w:trHeight w:val="228"/>
        </w:trPr>
        <w:tc>
          <w:tcPr>
            <w:tcW w:w="2122" w:type="dxa"/>
          </w:tcPr>
          <w:p w:rsidR="00774DD5" w:rsidRDefault="00774DD5" w:rsidP="00891971">
            <w:pPr>
              <w:pStyle w:val="TableParagraph"/>
              <w:spacing w:before="0" w:line="240" w:lineRule="auto"/>
              <w:rPr>
                <w:sz w:val="18"/>
              </w:rPr>
            </w:pPr>
            <w:r>
              <w:rPr>
                <w:color w:val="231F20"/>
                <w:sz w:val="18"/>
              </w:rPr>
              <w:t>Deduções da Receita</w:t>
            </w:r>
          </w:p>
        </w:tc>
        <w:tc>
          <w:tcPr>
            <w:tcW w:w="992" w:type="dxa"/>
          </w:tcPr>
          <w:p w:rsidR="00774DD5" w:rsidRDefault="00774DD5" w:rsidP="00891971">
            <w:pPr>
              <w:pStyle w:val="TableParagraph"/>
              <w:spacing w:before="0" w:line="240" w:lineRule="auto"/>
              <w:jc w:val="center"/>
              <w:rPr>
                <w:sz w:val="18"/>
              </w:rPr>
            </w:pPr>
            <w:r>
              <w:rPr>
                <w:color w:val="231F20"/>
                <w:sz w:val="18"/>
              </w:rPr>
              <w:t>soma</w:t>
            </w:r>
          </w:p>
        </w:tc>
        <w:tc>
          <w:tcPr>
            <w:tcW w:w="1276" w:type="dxa"/>
          </w:tcPr>
          <w:p w:rsidR="00774DD5" w:rsidRDefault="00774DD5" w:rsidP="00891971">
            <w:pPr>
              <w:pStyle w:val="TableParagraph"/>
              <w:spacing w:before="0" w:line="240" w:lineRule="auto"/>
              <w:jc w:val="right"/>
              <w:rPr>
                <w:sz w:val="18"/>
              </w:rPr>
            </w:pPr>
            <w:r>
              <w:rPr>
                <w:color w:val="231F20"/>
                <w:sz w:val="18"/>
              </w:rPr>
              <w:t>3.150.000,00</w:t>
            </w:r>
          </w:p>
        </w:tc>
      </w:tr>
      <w:tr w:rsidR="00774DD5" w:rsidTr="00B03589">
        <w:trPr>
          <w:trHeight w:val="228"/>
        </w:trPr>
        <w:tc>
          <w:tcPr>
            <w:tcW w:w="2122" w:type="dxa"/>
          </w:tcPr>
          <w:p w:rsidR="00774DD5" w:rsidRDefault="00774DD5" w:rsidP="00891971">
            <w:pPr>
              <w:pStyle w:val="TableParagraph"/>
              <w:spacing w:before="0" w:line="240" w:lineRule="auto"/>
              <w:rPr>
                <w:sz w:val="18"/>
              </w:rPr>
            </w:pPr>
            <w:r>
              <w:rPr>
                <w:color w:val="231F20"/>
                <w:sz w:val="18"/>
              </w:rPr>
              <w:t>ICMS</w:t>
            </w:r>
          </w:p>
        </w:tc>
        <w:tc>
          <w:tcPr>
            <w:tcW w:w="992" w:type="dxa"/>
          </w:tcPr>
          <w:p w:rsidR="00774DD5" w:rsidRDefault="00774DD5" w:rsidP="00891971">
            <w:pPr>
              <w:pStyle w:val="TableParagraph"/>
              <w:spacing w:before="0" w:line="240" w:lineRule="auto"/>
              <w:jc w:val="center"/>
              <w:rPr>
                <w:sz w:val="18"/>
              </w:rPr>
            </w:pPr>
            <w:r>
              <w:rPr>
                <w:color w:val="231F20"/>
                <w:sz w:val="18"/>
              </w:rPr>
              <w:t>17,00%</w:t>
            </w:r>
          </w:p>
        </w:tc>
        <w:tc>
          <w:tcPr>
            <w:tcW w:w="1276" w:type="dxa"/>
          </w:tcPr>
          <w:p w:rsidR="00774DD5" w:rsidRDefault="00774DD5" w:rsidP="00891971">
            <w:pPr>
              <w:pStyle w:val="TableParagraph"/>
              <w:spacing w:before="0" w:line="240" w:lineRule="auto"/>
              <w:jc w:val="right"/>
              <w:rPr>
                <w:sz w:val="18"/>
              </w:rPr>
            </w:pPr>
            <w:r>
              <w:rPr>
                <w:color w:val="231F20"/>
                <w:sz w:val="18"/>
              </w:rPr>
              <w:t>2.040.000,00</w:t>
            </w:r>
          </w:p>
        </w:tc>
      </w:tr>
      <w:tr w:rsidR="00774DD5" w:rsidTr="00B03589">
        <w:trPr>
          <w:trHeight w:val="228"/>
        </w:trPr>
        <w:tc>
          <w:tcPr>
            <w:tcW w:w="2122" w:type="dxa"/>
          </w:tcPr>
          <w:p w:rsidR="00774DD5" w:rsidRDefault="00774DD5" w:rsidP="00891971">
            <w:pPr>
              <w:pStyle w:val="TableParagraph"/>
              <w:spacing w:before="0" w:line="240" w:lineRule="auto"/>
              <w:rPr>
                <w:sz w:val="18"/>
              </w:rPr>
            </w:pPr>
            <w:r>
              <w:rPr>
                <w:color w:val="231F20"/>
                <w:sz w:val="18"/>
              </w:rPr>
              <w:t>PIS</w:t>
            </w:r>
          </w:p>
        </w:tc>
        <w:tc>
          <w:tcPr>
            <w:tcW w:w="992" w:type="dxa"/>
          </w:tcPr>
          <w:p w:rsidR="00774DD5" w:rsidRDefault="00774DD5" w:rsidP="00891971">
            <w:pPr>
              <w:pStyle w:val="TableParagraph"/>
              <w:spacing w:before="0" w:line="240" w:lineRule="auto"/>
              <w:jc w:val="center"/>
              <w:rPr>
                <w:sz w:val="18"/>
              </w:rPr>
            </w:pPr>
            <w:r>
              <w:rPr>
                <w:color w:val="231F20"/>
                <w:sz w:val="18"/>
              </w:rPr>
              <w:t>1,65%</w:t>
            </w:r>
          </w:p>
        </w:tc>
        <w:tc>
          <w:tcPr>
            <w:tcW w:w="1276" w:type="dxa"/>
          </w:tcPr>
          <w:p w:rsidR="00774DD5" w:rsidRDefault="00774DD5" w:rsidP="00891971">
            <w:pPr>
              <w:pStyle w:val="TableParagraph"/>
              <w:spacing w:before="0" w:line="240" w:lineRule="auto"/>
              <w:jc w:val="right"/>
              <w:rPr>
                <w:sz w:val="18"/>
              </w:rPr>
            </w:pPr>
            <w:r>
              <w:rPr>
                <w:color w:val="231F20"/>
                <w:sz w:val="18"/>
              </w:rPr>
              <w:t>198.000,00</w:t>
            </w:r>
          </w:p>
        </w:tc>
      </w:tr>
      <w:tr w:rsidR="00774DD5" w:rsidTr="00B03589">
        <w:trPr>
          <w:trHeight w:val="228"/>
        </w:trPr>
        <w:tc>
          <w:tcPr>
            <w:tcW w:w="2122" w:type="dxa"/>
          </w:tcPr>
          <w:p w:rsidR="00774DD5" w:rsidRDefault="00774DD5" w:rsidP="00891971">
            <w:pPr>
              <w:pStyle w:val="TableParagraph"/>
              <w:spacing w:before="0" w:line="240" w:lineRule="auto"/>
              <w:rPr>
                <w:sz w:val="18"/>
              </w:rPr>
            </w:pPr>
            <w:r>
              <w:rPr>
                <w:color w:val="231F20"/>
                <w:sz w:val="18"/>
              </w:rPr>
              <w:t>COFINS</w:t>
            </w:r>
          </w:p>
        </w:tc>
        <w:tc>
          <w:tcPr>
            <w:tcW w:w="992" w:type="dxa"/>
          </w:tcPr>
          <w:p w:rsidR="00774DD5" w:rsidRDefault="00774DD5" w:rsidP="00891971">
            <w:pPr>
              <w:pStyle w:val="TableParagraph"/>
              <w:spacing w:before="0" w:line="240" w:lineRule="auto"/>
              <w:jc w:val="center"/>
              <w:rPr>
                <w:sz w:val="18"/>
              </w:rPr>
            </w:pPr>
            <w:r>
              <w:rPr>
                <w:color w:val="231F20"/>
                <w:sz w:val="18"/>
              </w:rPr>
              <w:t>7,60%</w:t>
            </w:r>
          </w:p>
        </w:tc>
        <w:tc>
          <w:tcPr>
            <w:tcW w:w="1276" w:type="dxa"/>
          </w:tcPr>
          <w:p w:rsidR="00774DD5" w:rsidRDefault="00774DD5" w:rsidP="00891971">
            <w:pPr>
              <w:pStyle w:val="TableParagraph"/>
              <w:spacing w:before="0" w:line="240" w:lineRule="auto"/>
              <w:jc w:val="right"/>
              <w:rPr>
                <w:sz w:val="18"/>
              </w:rPr>
            </w:pPr>
            <w:r>
              <w:rPr>
                <w:color w:val="231F20"/>
                <w:sz w:val="18"/>
              </w:rPr>
              <w:t>912.000,00</w:t>
            </w:r>
          </w:p>
        </w:tc>
      </w:tr>
      <w:tr w:rsidR="00774DD5" w:rsidTr="00B03589">
        <w:trPr>
          <w:trHeight w:val="228"/>
        </w:trPr>
        <w:tc>
          <w:tcPr>
            <w:tcW w:w="2122" w:type="dxa"/>
          </w:tcPr>
          <w:p w:rsidR="00774DD5" w:rsidRDefault="00774DD5" w:rsidP="00891971">
            <w:pPr>
              <w:pStyle w:val="TableParagraph"/>
              <w:spacing w:before="0" w:line="240" w:lineRule="auto"/>
              <w:rPr>
                <w:sz w:val="18"/>
              </w:rPr>
            </w:pPr>
            <w:r>
              <w:rPr>
                <w:color w:val="231F20"/>
                <w:sz w:val="18"/>
              </w:rPr>
              <w:t>Comissões</w:t>
            </w:r>
          </w:p>
        </w:tc>
        <w:tc>
          <w:tcPr>
            <w:tcW w:w="992" w:type="dxa"/>
          </w:tcPr>
          <w:p w:rsidR="00774DD5" w:rsidRDefault="00774DD5" w:rsidP="00891971">
            <w:pPr>
              <w:pStyle w:val="TableParagraph"/>
              <w:spacing w:before="0" w:line="240" w:lineRule="auto"/>
              <w:rPr>
                <w:sz w:val="16"/>
              </w:rPr>
            </w:pPr>
          </w:p>
        </w:tc>
        <w:tc>
          <w:tcPr>
            <w:tcW w:w="1276" w:type="dxa"/>
          </w:tcPr>
          <w:p w:rsidR="00774DD5" w:rsidRDefault="00774DD5" w:rsidP="00891971">
            <w:pPr>
              <w:pStyle w:val="TableParagraph"/>
              <w:spacing w:before="0" w:line="240" w:lineRule="auto"/>
              <w:jc w:val="right"/>
              <w:rPr>
                <w:sz w:val="18"/>
              </w:rPr>
            </w:pPr>
            <w:r>
              <w:rPr>
                <w:color w:val="231F20"/>
                <w:sz w:val="18"/>
              </w:rPr>
              <w:t>-</w:t>
            </w:r>
          </w:p>
        </w:tc>
      </w:tr>
      <w:tr w:rsidR="00774DD5" w:rsidTr="00B03589">
        <w:trPr>
          <w:trHeight w:val="225"/>
        </w:trPr>
        <w:tc>
          <w:tcPr>
            <w:tcW w:w="2122" w:type="dxa"/>
          </w:tcPr>
          <w:p w:rsidR="00774DD5" w:rsidRDefault="00774DD5" w:rsidP="00891971">
            <w:pPr>
              <w:pStyle w:val="TableParagraph"/>
              <w:spacing w:before="0" w:line="240" w:lineRule="auto"/>
              <w:rPr>
                <w:b/>
                <w:sz w:val="18"/>
              </w:rPr>
            </w:pPr>
            <w:r>
              <w:rPr>
                <w:b/>
                <w:color w:val="231F20"/>
                <w:sz w:val="18"/>
              </w:rPr>
              <w:t>Receita Líquida</w:t>
            </w:r>
          </w:p>
        </w:tc>
        <w:tc>
          <w:tcPr>
            <w:tcW w:w="992" w:type="dxa"/>
          </w:tcPr>
          <w:p w:rsidR="00774DD5" w:rsidRDefault="00774DD5" w:rsidP="00891971">
            <w:pPr>
              <w:pStyle w:val="TableParagraph"/>
              <w:spacing w:before="0" w:line="240" w:lineRule="auto"/>
              <w:rPr>
                <w:sz w:val="16"/>
              </w:rPr>
            </w:pPr>
          </w:p>
        </w:tc>
        <w:tc>
          <w:tcPr>
            <w:tcW w:w="1276" w:type="dxa"/>
          </w:tcPr>
          <w:p w:rsidR="00774DD5" w:rsidRDefault="00774DD5" w:rsidP="00891971">
            <w:pPr>
              <w:pStyle w:val="TableParagraph"/>
              <w:spacing w:before="0" w:line="240" w:lineRule="auto"/>
              <w:jc w:val="right"/>
              <w:rPr>
                <w:b/>
                <w:sz w:val="18"/>
              </w:rPr>
            </w:pPr>
            <w:r>
              <w:rPr>
                <w:b/>
                <w:color w:val="231F20"/>
                <w:sz w:val="18"/>
              </w:rPr>
              <w:t>8.850.000,00</w:t>
            </w:r>
          </w:p>
        </w:tc>
      </w:tr>
      <w:tr w:rsidR="00774DD5" w:rsidTr="00B03589">
        <w:trPr>
          <w:trHeight w:val="228"/>
        </w:trPr>
        <w:tc>
          <w:tcPr>
            <w:tcW w:w="2122" w:type="dxa"/>
          </w:tcPr>
          <w:p w:rsidR="00774DD5" w:rsidRDefault="00774DD5" w:rsidP="00891971">
            <w:pPr>
              <w:pStyle w:val="TableParagraph"/>
              <w:spacing w:before="0" w:line="240" w:lineRule="auto"/>
              <w:rPr>
                <w:sz w:val="18"/>
              </w:rPr>
            </w:pPr>
            <w:r>
              <w:rPr>
                <w:color w:val="231F20"/>
                <w:sz w:val="18"/>
              </w:rPr>
              <w:t xml:space="preserve">Custo dos Produtos </w:t>
            </w:r>
            <w:r>
              <w:rPr>
                <w:color w:val="231F20"/>
                <w:sz w:val="18"/>
              </w:rPr>
              <w:lastRenderedPageBreak/>
              <w:t>Vendidos</w:t>
            </w:r>
          </w:p>
        </w:tc>
        <w:tc>
          <w:tcPr>
            <w:tcW w:w="992" w:type="dxa"/>
          </w:tcPr>
          <w:p w:rsidR="00774DD5" w:rsidRDefault="00774DD5" w:rsidP="00891971">
            <w:pPr>
              <w:pStyle w:val="TableParagraph"/>
              <w:spacing w:before="0" w:line="240" w:lineRule="auto"/>
              <w:jc w:val="center"/>
              <w:rPr>
                <w:sz w:val="18"/>
              </w:rPr>
            </w:pPr>
            <w:r>
              <w:rPr>
                <w:color w:val="231F20"/>
                <w:sz w:val="18"/>
              </w:rPr>
              <w:lastRenderedPageBreak/>
              <w:t>66,4%</w:t>
            </w:r>
          </w:p>
        </w:tc>
        <w:tc>
          <w:tcPr>
            <w:tcW w:w="1276" w:type="dxa"/>
          </w:tcPr>
          <w:p w:rsidR="00774DD5" w:rsidRDefault="00774DD5" w:rsidP="00891971">
            <w:pPr>
              <w:pStyle w:val="TableParagraph"/>
              <w:spacing w:before="0" w:line="240" w:lineRule="auto"/>
              <w:jc w:val="right"/>
              <w:rPr>
                <w:sz w:val="18"/>
              </w:rPr>
            </w:pPr>
            <w:r>
              <w:rPr>
                <w:color w:val="231F20"/>
                <w:sz w:val="18"/>
              </w:rPr>
              <w:t>7.000.350,02</w:t>
            </w:r>
          </w:p>
        </w:tc>
      </w:tr>
      <w:tr w:rsidR="00774DD5" w:rsidTr="00B03589">
        <w:trPr>
          <w:trHeight w:val="228"/>
        </w:trPr>
        <w:tc>
          <w:tcPr>
            <w:tcW w:w="2122" w:type="dxa"/>
          </w:tcPr>
          <w:p w:rsidR="00774DD5" w:rsidRDefault="00774DD5" w:rsidP="00891971">
            <w:pPr>
              <w:pStyle w:val="TableParagraph"/>
              <w:spacing w:before="0" w:line="240" w:lineRule="auto"/>
              <w:rPr>
                <w:sz w:val="18"/>
              </w:rPr>
            </w:pPr>
            <w:r>
              <w:rPr>
                <w:color w:val="231F20"/>
                <w:sz w:val="18"/>
              </w:rPr>
              <w:lastRenderedPageBreak/>
              <w:t>Crédito dos impostos</w:t>
            </w:r>
          </w:p>
        </w:tc>
        <w:tc>
          <w:tcPr>
            <w:tcW w:w="992" w:type="dxa"/>
          </w:tcPr>
          <w:p w:rsidR="00774DD5" w:rsidRDefault="00774DD5" w:rsidP="00891971">
            <w:pPr>
              <w:pStyle w:val="TableParagraph"/>
              <w:spacing w:before="0" w:line="240" w:lineRule="auto"/>
              <w:jc w:val="center"/>
              <w:rPr>
                <w:sz w:val="18"/>
              </w:rPr>
            </w:pPr>
            <w:r>
              <w:rPr>
                <w:color w:val="231F20"/>
                <w:sz w:val="18"/>
              </w:rPr>
              <w:t>soma</w:t>
            </w:r>
          </w:p>
        </w:tc>
        <w:tc>
          <w:tcPr>
            <w:tcW w:w="1276" w:type="dxa"/>
          </w:tcPr>
          <w:p w:rsidR="00774DD5" w:rsidRDefault="00774DD5" w:rsidP="00891971">
            <w:pPr>
              <w:pStyle w:val="TableParagraph"/>
              <w:spacing w:before="0" w:line="240" w:lineRule="auto"/>
              <w:jc w:val="right"/>
              <w:rPr>
                <w:sz w:val="18"/>
              </w:rPr>
            </w:pPr>
            <w:r>
              <w:rPr>
                <w:color w:val="231F20"/>
                <w:sz w:val="18"/>
              </w:rPr>
              <w:t>1.697.584,88</w:t>
            </w:r>
          </w:p>
        </w:tc>
      </w:tr>
      <w:tr w:rsidR="00774DD5" w:rsidTr="00B03589">
        <w:trPr>
          <w:trHeight w:val="228"/>
        </w:trPr>
        <w:tc>
          <w:tcPr>
            <w:tcW w:w="2122" w:type="dxa"/>
          </w:tcPr>
          <w:p w:rsidR="00774DD5" w:rsidRDefault="00774DD5" w:rsidP="00891971">
            <w:pPr>
              <w:pStyle w:val="TableParagraph"/>
              <w:spacing w:before="0" w:line="240" w:lineRule="auto"/>
              <w:rPr>
                <w:sz w:val="18"/>
              </w:rPr>
            </w:pPr>
            <w:r>
              <w:rPr>
                <w:color w:val="231F20"/>
                <w:sz w:val="18"/>
              </w:rPr>
              <w:t>ICMS</w:t>
            </w:r>
          </w:p>
        </w:tc>
        <w:tc>
          <w:tcPr>
            <w:tcW w:w="992" w:type="dxa"/>
          </w:tcPr>
          <w:p w:rsidR="00774DD5" w:rsidRDefault="00774DD5" w:rsidP="00891971">
            <w:pPr>
              <w:pStyle w:val="TableParagraph"/>
              <w:spacing w:before="0" w:line="240" w:lineRule="auto"/>
              <w:jc w:val="center"/>
              <w:rPr>
                <w:sz w:val="18"/>
              </w:rPr>
            </w:pPr>
            <w:r>
              <w:rPr>
                <w:color w:val="231F20"/>
                <w:sz w:val="18"/>
              </w:rPr>
              <w:t>15,0%</w:t>
            </w:r>
          </w:p>
        </w:tc>
        <w:tc>
          <w:tcPr>
            <w:tcW w:w="1276" w:type="dxa"/>
          </w:tcPr>
          <w:p w:rsidR="00774DD5" w:rsidRDefault="00774DD5" w:rsidP="00891971">
            <w:pPr>
              <w:pStyle w:val="TableParagraph"/>
              <w:spacing w:before="0" w:line="240" w:lineRule="auto"/>
              <w:jc w:val="right"/>
              <w:rPr>
                <w:sz w:val="18"/>
              </w:rPr>
            </w:pPr>
            <w:r>
              <w:rPr>
                <w:color w:val="231F20"/>
                <w:sz w:val="18"/>
              </w:rPr>
              <w:t>1.050.052,50</w:t>
            </w:r>
          </w:p>
        </w:tc>
      </w:tr>
      <w:tr w:rsidR="00774DD5" w:rsidTr="00B03589">
        <w:trPr>
          <w:trHeight w:val="228"/>
        </w:trPr>
        <w:tc>
          <w:tcPr>
            <w:tcW w:w="2122" w:type="dxa"/>
          </w:tcPr>
          <w:p w:rsidR="00774DD5" w:rsidRDefault="00774DD5" w:rsidP="00891971">
            <w:pPr>
              <w:pStyle w:val="TableParagraph"/>
              <w:spacing w:before="0" w:line="240" w:lineRule="auto"/>
              <w:rPr>
                <w:sz w:val="18"/>
              </w:rPr>
            </w:pPr>
            <w:r>
              <w:rPr>
                <w:color w:val="231F20"/>
                <w:sz w:val="18"/>
              </w:rPr>
              <w:t>PIS</w:t>
            </w:r>
          </w:p>
        </w:tc>
        <w:tc>
          <w:tcPr>
            <w:tcW w:w="992" w:type="dxa"/>
          </w:tcPr>
          <w:p w:rsidR="00774DD5" w:rsidRDefault="00774DD5" w:rsidP="00891971">
            <w:pPr>
              <w:pStyle w:val="TableParagraph"/>
              <w:spacing w:before="0" w:line="240" w:lineRule="auto"/>
              <w:jc w:val="center"/>
              <w:rPr>
                <w:sz w:val="18"/>
              </w:rPr>
            </w:pPr>
            <w:r>
              <w:rPr>
                <w:color w:val="231F20"/>
                <w:sz w:val="18"/>
              </w:rPr>
              <w:t>1,65%</w:t>
            </w:r>
          </w:p>
        </w:tc>
        <w:tc>
          <w:tcPr>
            <w:tcW w:w="1276" w:type="dxa"/>
          </w:tcPr>
          <w:p w:rsidR="00774DD5" w:rsidRDefault="00774DD5" w:rsidP="00891971">
            <w:pPr>
              <w:pStyle w:val="TableParagraph"/>
              <w:spacing w:before="0" w:line="240" w:lineRule="auto"/>
              <w:jc w:val="right"/>
              <w:rPr>
                <w:sz w:val="18"/>
              </w:rPr>
            </w:pPr>
            <w:r>
              <w:rPr>
                <w:color w:val="231F20"/>
                <w:sz w:val="18"/>
              </w:rPr>
              <w:t>115.505,78</w:t>
            </w:r>
          </w:p>
        </w:tc>
      </w:tr>
      <w:tr w:rsidR="00774DD5" w:rsidTr="00B03589">
        <w:trPr>
          <w:trHeight w:val="228"/>
        </w:trPr>
        <w:tc>
          <w:tcPr>
            <w:tcW w:w="2122" w:type="dxa"/>
          </w:tcPr>
          <w:p w:rsidR="00774DD5" w:rsidRDefault="00774DD5" w:rsidP="00891971">
            <w:pPr>
              <w:pStyle w:val="TableParagraph"/>
              <w:spacing w:before="0" w:line="240" w:lineRule="auto"/>
              <w:rPr>
                <w:sz w:val="18"/>
              </w:rPr>
            </w:pPr>
            <w:r>
              <w:rPr>
                <w:color w:val="231F20"/>
                <w:sz w:val="18"/>
              </w:rPr>
              <w:t>COFINS</w:t>
            </w:r>
          </w:p>
        </w:tc>
        <w:tc>
          <w:tcPr>
            <w:tcW w:w="992" w:type="dxa"/>
          </w:tcPr>
          <w:p w:rsidR="00774DD5" w:rsidRDefault="00774DD5" w:rsidP="00891971">
            <w:pPr>
              <w:pStyle w:val="TableParagraph"/>
              <w:spacing w:before="0" w:line="240" w:lineRule="auto"/>
              <w:jc w:val="center"/>
              <w:rPr>
                <w:sz w:val="18"/>
              </w:rPr>
            </w:pPr>
            <w:r>
              <w:rPr>
                <w:color w:val="231F20"/>
                <w:sz w:val="18"/>
              </w:rPr>
              <w:t>7,60%</w:t>
            </w:r>
          </w:p>
        </w:tc>
        <w:tc>
          <w:tcPr>
            <w:tcW w:w="1276" w:type="dxa"/>
          </w:tcPr>
          <w:p w:rsidR="00774DD5" w:rsidRDefault="00774DD5" w:rsidP="00891971">
            <w:pPr>
              <w:pStyle w:val="TableParagraph"/>
              <w:spacing w:before="0" w:line="240" w:lineRule="auto"/>
              <w:jc w:val="right"/>
              <w:rPr>
                <w:sz w:val="18"/>
              </w:rPr>
            </w:pPr>
            <w:r>
              <w:rPr>
                <w:color w:val="231F20"/>
                <w:sz w:val="18"/>
              </w:rPr>
              <w:t>532.026,60</w:t>
            </w:r>
          </w:p>
        </w:tc>
      </w:tr>
      <w:tr w:rsidR="00774DD5" w:rsidTr="00B03589">
        <w:trPr>
          <w:trHeight w:val="228"/>
        </w:trPr>
        <w:tc>
          <w:tcPr>
            <w:tcW w:w="2122" w:type="dxa"/>
          </w:tcPr>
          <w:p w:rsidR="00774DD5" w:rsidRDefault="00774DD5" w:rsidP="00891971">
            <w:pPr>
              <w:pStyle w:val="TableParagraph"/>
              <w:spacing w:before="0" w:line="240" w:lineRule="auto"/>
              <w:rPr>
                <w:sz w:val="18"/>
              </w:rPr>
            </w:pPr>
            <w:r>
              <w:rPr>
                <w:color w:val="231F20"/>
                <w:sz w:val="18"/>
              </w:rPr>
              <w:t>Custo dos Produtos</w:t>
            </w:r>
          </w:p>
        </w:tc>
        <w:tc>
          <w:tcPr>
            <w:tcW w:w="992" w:type="dxa"/>
          </w:tcPr>
          <w:p w:rsidR="00774DD5" w:rsidRDefault="00774DD5" w:rsidP="00891971">
            <w:pPr>
              <w:pStyle w:val="TableParagraph"/>
              <w:spacing w:before="0" w:line="240" w:lineRule="auto"/>
              <w:jc w:val="center"/>
              <w:rPr>
                <w:sz w:val="18"/>
              </w:rPr>
            </w:pPr>
            <w:r>
              <w:rPr>
                <w:color w:val="231F20"/>
                <w:sz w:val="18"/>
              </w:rPr>
              <w:t>Liquido</w:t>
            </w:r>
          </w:p>
        </w:tc>
        <w:tc>
          <w:tcPr>
            <w:tcW w:w="1276" w:type="dxa"/>
          </w:tcPr>
          <w:p w:rsidR="00774DD5" w:rsidRDefault="00774DD5" w:rsidP="00891971">
            <w:pPr>
              <w:pStyle w:val="TableParagraph"/>
              <w:spacing w:before="0" w:line="240" w:lineRule="auto"/>
              <w:jc w:val="right"/>
              <w:rPr>
                <w:sz w:val="18"/>
              </w:rPr>
            </w:pPr>
            <w:r>
              <w:rPr>
                <w:color w:val="231F20"/>
                <w:sz w:val="18"/>
              </w:rPr>
              <w:t>5.302.765,14</w:t>
            </w:r>
          </w:p>
        </w:tc>
      </w:tr>
      <w:tr w:rsidR="00774DD5" w:rsidTr="00B03589">
        <w:trPr>
          <w:trHeight w:val="225"/>
        </w:trPr>
        <w:tc>
          <w:tcPr>
            <w:tcW w:w="2122" w:type="dxa"/>
          </w:tcPr>
          <w:p w:rsidR="00774DD5" w:rsidRDefault="00774DD5" w:rsidP="00891971">
            <w:pPr>
              <w:pStyle w:val="TableParagraph"/>
              <w:spacing w:before="0" w:line="240" w:lineRule="auto"/>
              <w:rPr>
                <w:b/>
                <w:sz w:val="18"/>
              </w:rPr>
            </w:pPr>
            <w:r>
              <w:rPr>
                <w:b/>
                <w:color w:val="231F20"/>
                <w:sz w:val="18"/>
              </w:rPr>
              <w:t>Lucro Bruto</w:t>
            </w:r>
          </w:p>
        </w:tc>
        <w:tc>
          <w:tcPr>
            <w:tcW w:w="992" w:type="dxa"/>
          </w:tcPr>
          <w:p w:rsidR="00774DD5" w:rsidRDefault="00774DD5" w:rsidP="00891971">
            <w:pPr>
              <w:pStyle w:val="TableParagraph"/>
              <w:spacing w:before="0" w:line="240" w:lineRule="auto"/>
              <w:rPr>
                <w:sz w:val="16"/>
              </w:rPr>
            </w:pPr>
          </w:p>
        </w:tc>
        <w:tc>
          <w:tcPr>
            <w:tcW w:w="1276" w:type="dxa"/>
          </w:tcPr>
          <w:p w:rsidR="00774DD5" w:rsidRDefault="00774DD5" w:rsidP="00891971">
            <w:pPr>
              <w:pStyle w:val="TableParagraph"/>
              <w:spacing w:before="0" w:line="240" w:lineRule="auto"/>
              <w:jc w:val="right"/>
              <w:rPr>
                <w:b/>
                <w:sz w:val="18"/>
              </w:rPr>
            </w:pPr>
            <w:r>
              <w:rPr>
                <w:b/>
                <w:color w:val="231F20"/>
                <w:sz w:val="18"/>
              </w:rPr>
              <w:t>3.547.234,86</w:t>
            </w:r>
          </w:p>
        </w:tc>
      </w:tr>
      <w:tr w:rsidR="00774DD5" w:rsidTr="00B03589">
        <w:trPr>
          <w:trHeight w:val="228"/>
        </w:trPr>
        <w:tc>
          <w:tcPr>
            <w:tcW w:w="2122" w:type="dxa"/>
          </w:tcPr>
          <w:p w:rsidR="00774DD5" w:rsidRDefault="00774DD5" w:rsidP="00891971">
            <w:pPr>
              <w:pStyle w:val="TableParagraph"/>
              <w:spacing w:before="0" w:line="240" w:lineRule="auto"/>
              <w:rPr>
                <w:sz w:val="18"/>
              </w:rPr>
            </w:pPr>
            <w:r>
              <w:rPr>
                <w:color w:val="231F20"/>
                <w:sz w:val="18"/>
              </w:rPr>
              <w:t>Despesas operacionais</w:t>
            </w:r>
          </w:p>
        </w:tc>
        <w:tc>
          <w:tcPr>
            <w:tcW w:w="992" w:type="dxa"/>
          </w:tcPr>
          <w:p w:rsidR="00774DD5" w:rsidRDefault="00774DD5" w:rsidP="00891971">
            <w:pPr>
              <w:pStyle w:val="TableParagraph"/>
              <w:spacing w:before="0" w:line="240" w:lineRule="auto"/>
              <w:jc w:val="center"/>
              <w:rPr>
                <w:sz w:val="18"/>
              </w:rPr>
            </w:pPr>
            <w:r>
              <w:rPr>
                <w:color w:val="231F20"/>
                <w:sz w:val="18"/>
              </w:rPr>
              <w:t>soma</w:t>
            </w:r>
          </w:p>
        </w:tc>
        <w:tc>
          <w:tcPr>
            <w:tcW w:w="1276" w:type="dxa"/>
          </w:tcPr>
          <w:p w:rsidR="00774DD5" w:rsidRDefault="00774DD5" w:rsidP="00891971">
            <w:pPr>
              <w:pStyle w:val="TableParagraph"/>
              <w:spacing w:before="0" w:line="240" w:lineRule="auto"/>
              <w:jc w:val="right"/>
              <w:rPr>
                <w:sz w:val="18"/>
              </w:rPr>
            </w:pPr>
            <w:r>
              <w:rPr>
                <w:color w:val="231F20"/>
                <w:sz w:val="18"/>
              </w:rPr>
              <w:t>1.724.333,94</w:t>
            </w:r>
          </w:p>
        </w:tc>
      </w:tr>
      <w:tr w:rsidR="00774DD5" w:rsidTr="00B03589">
        <w:trPr>
          <w:trHeight w:val="225"/>
        </w:trPr>
        <w:tc>
          <w:tcPr>
            <w:tcW w:w="2122" w:type="dxa"/>
          </w:tcPr>
          <w:p w:rsidR="00774DD5" w:rsidRDefault="00774DD5" w:rsidP="00891971">
            <w:pPr>
              <w:pStyle w:val="TableParagraph"/>
              <w:spacing w:before="0" w:line="240" w:lineRule="auto"/>
              <w:rPr>
                <w:b/>
                <w:sz w:val="18"/>
              </w:rPr>
            </w:pPr>
            <w:r>
              <w:rPr>
                <w:b/>
                <w:color w:val="231F20"/>
                <w:sz w:val="18"/>
              </w:rPr>
              <w:t>LAIR</w:t>
            </w:r>
          </w:p>
        </w:tc>
        <w:tc>
          <w:tcPr>
            <w:tcW w:w="992" w:type="dxa"/>
          </w:tcPr>
          <w:p w:rsidR="00774DD5" w:rsidRDefault="00774DD5" w:rsidP="00891971">
            <w:pPr>
              <w:pStyle w:val="TableParagraph"/>
              <w:spacing w:before="0" w:line="240" w:lineRule="auto"/>
              <w:rPr>
                <w:sz w:val="16"/>
              </w:rPr>
            </w:pPr>
          </w:p>
        </w:tc>
        <w:tc>
          <w:tcPr>
            <w:tcW w:w="1276" w:type="dxa"/>
          </w:tcPr>
          <w:p w:rsidR="00774DD5" w:rsidRDefault="00774DD5" w:rsidP="00891971">
            <w:pPr>
              <w:pStyle w:val="TableParagraph"/>
              <w:spacing w:before="0" w:line="240" w:lineRule="auto"/>
              <w:jc w:val="right"/>
              <w:rPr>
                <w:b/>
                <w:sz w:val="18"/>
              </w:rPr>
            </w:pPr>
            <w:r>
              <w:rPr>
                <w:b/>
                <w:color w:val="231F20"/>
                <w:sz w:val="18"/>
              </w:rPr>
              <w:t>1.822.900,92</w:t>
            </w:r>
          </w:p>
        </w:tc>
      </w:tr>
      <w:tr w:rsidR="00774DD5" w:rsidTr="00B03589">
        <w:trPr>
          <w:trHeight w:val="228"/>
        </w:trPr>
        <w:tc>
          <w:tcPr>
            <w:tcW w:w="2122" w:type="dxa"/>
          </w:tcPr>
          <w:p w:rsidR="00774DD5" w:rsidRDefault="00774DD5" w:rsidP="00891971">
            <w:pPr>
              <w:pStyle w:val="TableParagraph"/>
              <w:spacing w:before="0" w:line="240" w:lineRule="auto"/>
              <w:rPr>
                <w:sz w:val="18"/>
              </w:rPr>
            </w:pPr>
            <w:r>
              <w:rPr>
                <w:color w:val="231F20"/>
                <w:sz w:val="18"/>
              </w:rPr>
              <w:t>IRPJ</w:t>
            </w:r>
          </w:p>
        </w:tc>
        <w:tc>
          <w:tcPr>
            <w:tcW w:w="992" w:type="dxa"/>
          </w:tcPr>
          <w:p w:rsidR="00774DD5" w:rsidRDefault="00774DD5" w:rsidP="00891971">
            <w:pPr>
              <w:pStyle w:val="TableParagraph"/>
              <w:spacing w:before="0" w:line="240" w:lineRule="auto"/>
              <w:jc w:val="center"/>
              <w:rPr>
                <w:sz w:val="18"/>
              </w:rPr>
            </w:pPr>
            <w:r>
              <w:rPr>
                <w:color w:val="231F20"/>
                <w:sz w:val="18"/>
              </w:rPr>
              <w:t>15%</w:t>
            </w:r>
          </w:p>
        </w:tc>
        <w:tc>
          <w:tcPr>
            <w:tcW w:w="1276" w:type="dxa"/>
          </w:tcPr>
          <w:p w:rsidR="00774DD5" w:rsidRDefault="00774DD5" w:rsidP="00891971">
            <w:pPr>
              <w:pStyle w:val="TableParagraph"/>
              <w:spacing w:before="0" w:line="240" w:lineRule="auto"/>
              <w:jc w:val="right"/>
              <w:rPr>
                <w:sz w:val="18"/>
              </w:rPr>
            </w:pPr>
            <w:r>
              <w:rPr>
                <w:color w:val="231F20"/>
                <w:sz w:val="18"/>
              </w:rPr>
              <w:t>273.435,14</w:t>
            </w:r>
          </w:p>
        </w:tc>
      </w:tr>
      <w:tr w:rsidR="00774DD5" w:rsidTr="00B03589">
        <w:trPr>
          <w:trHeight w:val="228"/>
        </w:trPr>
        <w:tc>
          <w:tcPr>
            <w:tcW w:w="2122" w:type="dxa"/>
          </w:tcPr>
          <w:p w:rsidR="00774DD5" w:rsidRDefault="00774DD5" w:rsidP="00891971">
            <w:pPr>
              <w:pStyle w:val="TableParagraph"/>
              <w:spacing w:before="0" w:line="240" w:lineRule="auto"/>
              <w:rPr>
                <w:sz w:val="18"/>
              </w:rPr>
            </w:pPr>
            <w:r>
              <w:rPr>
                <w:color w:val="231F20"/>
                <w:sz w:val="18"/>
              </w:rPr>
              <w:t>IRPJ – Adicional</w:t>
            </w:r>
          </w:p>
        </w:tc>
        <w:tc>
          <w:tcPr>
            <w:tcW w:w="992" w:type="dxa"/>
          </w:tcPr>
          <w:p w:rsidR="00774DD5" w:rsidRDefault="00774DD5" w:rsidP="00891971">
            <w:pPr>
              <w:pStyle w:val="TableParagraph"/>
              <w:spacing w:before="0" w:line="240" w:lineRule="auto"/>
              <w:jc w:val="center"/>
              <w:rPr>
                <w:sz w:val="18"/>
              </w:rPr>
            </w:pPr>
            <w:r>
              <w:rPr>
                <w:color w:val="231F20"/>
                <w:sz w:val="18"/>
              </w:rPr>
              <w:t>10%</w:t>
            </w:r>
          </w:p>
        </w:tc>
        <w:tc>
          <w:tcPr>
            <w:tcW w:w="1276" w:type="dxa"/>
          </w:tcPr>
          <w:p w:rsidR="00774DD5" w:rsidRDefault="00774DD5" w:rsidP="00891971">
            <w:pPr>
              <w:pStyle w:val="TableParagraph"/>
              <w:spacing w:before="0" w:line="240" w:lineRule="auto"/>
              <w:jc w:val="right"/>
              <w:rPr>
                <w:sz w:val="18"/>
              </w:rPr>
            </w:pPr>
            <w:r>
              <w:rPr>
                <w:color w:val="231F20"/>
                <w:sz w:val="18"/>
              </w:rPr>
              <w:t>176.290,09</w:t>
            </w:r>
          </w:p>
        </w:tc>
      </w:tr>
      <w:tr w:rsidR="00774DD5" w:rsidTr="00B03589">
        <w:trPr>
          <w:trHeight w:val="228"/>
        </w:trPr>
        <w:tc>
          <w:tcPr>
            <w:tcW w:w="2122" w:type="dxa"/>
          </w:tcPr>
          <w:p w:rsidR="00774DD5" w:rsidRDefault="00774DD5" w:rsidP="00891971">
            <w:pPr>
              <w:pStyle w:val="TableParagraph"/>
              <w:spacing w:before="0" w:line="240" w:lineRule="auto"/>
              <w:rPr>
                <w:sz w:val="18"/>
              </w:rPr>
            </w:pPr>
            <w:r>
              <w:rPr>
                <w:color w:val="231F20"/>
                <w:sz w:val="18"/>
              </w:rPr>
              <w:t>CSLL</w:t>
            </w:r>
          </w:p>
        </w:tc>
        <w:tc>
          <w:tcPr>
            <w:tcW w:w="992" w:type="dxa"/>
          </w:tcPr>
          <w:p w:rsidR="00774DD5" w:rsidRDefault="00774DD5" w:rsidP="00891971">
            <w:pPr>
              <w:pStyle w:val="TableParagraph"/>
              <w:spacing w:before="0" w:line="240" w:lineRule="auto"/>
              <w:jc w:val="center"/>
              <w:rPr>
                <w:sz w:val="18"/>
              </w:rPr>
            </w:pPr>
            <w:r>
              <w:rPr>
                <w:color w:val="231F20"/>
                <w:sz w:val="18"/>
              </w:rPr>
              <w:t>9%</w:t>
            </w:r>
          </w:p>
        </w:tc>
        <w:tc>
          <w:tcPr>
            <w:tcW w:w="1276" w:type="dxa"/>
          </w:tcPr>
          <w:p w:rsidR="00774DD5" w:rsidRDefault="00774DD5" w:rsidP="00891971">
            <w:pPr>
              <w:pStyle w:val="TableParagraph"/>
              <w:spacing w:before="0" w:line="240" w:lineRule="auto"/>
              <w:jc w:val="right"/>
              <w:rPr>
                <w:sz w:val="18"/>
              </w:rPr>
            </w:pPr>
            <w:r>
              <w:rPr>
                <w:color w:val="231F20"/>
                <w:sz w:val="18"/>
              </w:rPr>
              <w:t>164.061,08</w:t>
            </w:r>
          </w:p>
        </w:tc>
      </w:tr>
      <w:tr w:rsidR="00774DD5" w:rsidTr="00B03589">
        <w:trPr>
          <w:trHeight w:val="225"/>
        </w:trPr>
        <w:tc>
          <w:tcPr>
            <w:tcW w:w="2122" w:type="dxa"/>
          </w:tcPr>
          <w:p w:rsidR="00774DD5" w:rsidRDefault="00774DD5" w:rsidP="00891971">
            <w:pPr>
              <w:pStyle w:val="TableParagraph"/>
              <w:spacing w:before="0" w:line="240" w:lineRule="auto"/>
              <w:rPr>
                <w:b/>
                <w:sz w:val="18"/>
              </w:rPr>
            </w:pPr>
            <w:r>
              <w:rPr>
                <w:b/>
                <w:color w:val="231F20"/>
                <w:sz w:val="18"/>
              </w:rPr>
              <w:t>Lucro Líquido</w:t>
            </w:r>
          </w:p>
        </w:tc>
        <w:tc>
          <w:tcPr>
            <w:tcW w:w="992" w:type="dxa"/>
          </w:tcPr>
          <w:p w:rsidR="00774DD5" w:rsidRDefault="00774DD5" w:rsidP="00891971">
            <w:pPr>
              <w:pStyle w:val="TableParagraph"/>
              <w:spacing w:before="0" w:line="240" w:lineRule="auto"/>
              <w:rPr>
                <w:sz w:val="16"/>
              </w:rPr>
            </w:pPr>
          </w:p>
        </w:tc>
        <w:tc>
          <w:tcPr>
            <w:tcW w:w="1276" w:type="dxa"/>
          </w:tcPr>
          <w:p w:rsidR="00774DD5" w:rsidRDefault="00774DD5" w:rsidP="00891971">
            <w:pPr>
              <w:pStyle w:val="TableParagraph"/>
              <w:spacing w:before="0" w:line="240" w:lineRule="auto"/>
              <w:jc w:val="right"/>
              <w:rPr>
                <w:b/>
                <w:sz w:val="18"/>
              </w:rPr>
            </w:pPr>
            <w:r>
              <w:rPr>
                <w:b/>
                <w:color w:val="231F20"/>
                <w:sz w:val="18"/>
              </w:rPr>
              <w:t>1.209.114,61</w:t>
            </w:r>
          </w:p>
        </w:tc>
      </w:tr>
      <w:tr w:rsidR="00774DD5" w:rsidTr="00B03589">
        <w:trPr>
          <w:trHeight w:val="225"/>
        </w:trPr>
        <w:tc>
          <w:tcPr>
            <w:tcW w:w="2122" w:type="dxa"/>
          </w:tcPr>
          <w:p w:rsidR="00774DD5" w:rsidRDefault="00774DD5" w:rsidP="00891971">
            <w:pPr>
              <w:pStyle w:val="TableParagraph"/>
              <w:spacing w:before="0" w:line="240" w:lineRule="auto"/>
              <w:rPr>
                <w:b/>
                <w:sz w:val="18"/>
              </w:rPr>
            </w:pPr>
            <w:r>
              <w:rPr>
                <w:b/>
                <w:color w:val="231F20"/>
                <w:sz w:val="18"/>
              </w:rPr>
              <w:t>Impostos</w:t>
            </w:r>
          </w:p>
        </w:tc>
        <w:tc>
          <w:tcPr>
            <w:tcW w:w="992" w:type="dxa"/>
          </w:tcPr>
          <w:p w:rsidR="00774DD5" w:rsidRDefault="00774DD5" w:rsidP="00891971">
            <w:pPr>
              <w:pStyle w:val="TableParagraph"/>
              <w:spacing w:before="0" w:line="240" w:lineRule="auto"/>
              <w:rPr>
                <w:sz w:val="16"/>
              </w:rPr>
            </w:pPr>
          </w:p>
        </w:tc>
        <w:tc>
          <w:tcPr>
            <w:tcW w:w="1276" w:type="dxa"/>
          </w:tcPr>
          <w:p w:rsidR="00774DD5" w:rsidRDefault="00774DD5" w:rsidP="00891971">
            <w:pPr>
              <w:pStyle w:val="TableParagraph"/>
              <w:spacing w:before="0" w:line="240" w:lineRule="auto"/>
              <w:jc w:val="right"/>
              <w:rPr>
                <w:b/>
                <w:sz w:val="18"/>
              </w:rPr>
            </w:pPr>
            <w:r>
              <w:rPr>
                <w:b/>
                <w:color w:val="231F20"/>
                <w:sz w:val="18"/>
              </w:rPr>
              <w:t>2.066.201,43</w:t>
            </w:r>
          </w:p>
        </w:tc>
      </w:tr>
    </w:tbl>
    <w:p w:rsidR="004E4363" w:rsidRDefault="00774DD5" w:rsidP="00891971">
      <w:pPr>
        <w:pStyle w:val="Corpodetexto"/>
        <w:jc w:val="both"/>
        <w:rPr>
          <w:color w:val="231F20"/>
          <w:sz w:val="16"/>
        </w:rPr>
      </w:pPr>
      <w:r>
        <w:rPr>
          <w:b/>
          <w:color w:val="231F20"/>
          <w:sz w:val="16"/>
        </w:rPr>
        <w:t xml:space="preserve">Fonte: </w:t>
      </w:r>
      <w:r>
        <w:rPr>
          <w:color w:val="231F20"/>
          <w:sz w:val="16"/>
        </w:rPr>
        <w:t>Dados da pesquisa</w:t>
      </w:r>
    </w:p>
    <w:p w:rsidR="00774DD5" w:rsidRDefault="00774DD5" w:rsidP="00891971">
      <w:pPr>
        <w:pStyle w:val="Corpodetexto"/>
        <w:jc w:val="both"/>
        <w:rPr>
          <w:color w:val="231F20"/>
          <w:sz w:val="16"/>
        </w:rPr>
      </w:pPr>
    </w:p>
    <w:p w:rsidR="00774DD5" w:rsidRDefault="00774DD5" w:rsidP="00891971">
      <w:pPr>
        <w:pStyle w:val="Corpodetexto"/>
        <w:jc w:val="both"/>
        <w:rPr>
          <w:color w:val="231F20"/>
          <w:sz w:val="16"/>
        </w:rPr>
      </w:pPr>
    </w:p>
    <w:p w:rsidR="00774DD5" w:rsidRDefault="00774DD5" w:rsidP="00891971">
      <w:pPr>
        <w:pStyle w:val="Corpodetexto"/>
        <w:jc w:val="both"/>
      </w:pPr>
      <w:r>
        <w:rPr>
          <w:color w:val="231F20"/>
        </w:rPr>
        <w:t>No caso do lucro real, os impostos são não cumulativos e, portanto, ocorre a compensação dos impostos ICMS, PIS e COFINS no que tange aos custos do produto vendido (CPV), nos quais se inserem os insumos de nutrição, de</w:t>
      </w:r>
      <w:r>
        <w:rPr>
          <w:color w:val="231F20"/>
          <w:spacing w:val="-10"/>
        </w:rPr>
        <w:t xml:space="preserve"> </w:t>
      </w:r>
      <w:r>
        <w:rPr>
          <w:color w:val="231F20"/>
        </w:rPr>
        <w:t>inseminação, de sanidade e de reposição do plantel. Como cerca de 10% desses produtos vem de fora do Estado, utilizou-se a alíquota aproximada de 15% para o crédito de ICMS.</w:t>
      </w:r>
    </w:p>
    <w:p w:rsidR="00774DD5" w:rsidRDefault="00774DD5" w:rsidP="00891971">
      <w:pPr>
        <w:pStyle w:val="Corpodetexto"/>
        <w:ind w:firstLine="283"/>
        <w:jc w:val="both"/>
        <w:rPr>
          <w:color w:val="231F20"/>
        </w:rPr>
      </w:pPr>
      <w:r>
        <w:rPr>
          <w:color w:val="231F20"/>
        </w:rPr>
        <w:t>O Quadro 2 demonstra o resultado líquido estimado para o caso da empresa optar pelo regime tributário do lucro real.</w:t>
      </w:r>
    </w:p>
    <w:p w:rsidR="00B03589" w:rsidRDefault="00B03589" w:rsidP="00891971">
      <w:pPr>
        <w:pStyle w:val="Corpodetexto"/>
        <w:ind w:firstLine="283"/>
        <w:jc w:val="both"/>
        <w:rPr>
          <w:color w:val="231F20"/>
        </w:rPr>
      </w:pPr>
    </w:p>
    <w:p w:rsidR="00774DD5" w:rsidRDefault="00774DD5" w:rsidP="00891971">
      <w:pPr>
        <w:rPr>
          <w:sz w:val="18"/>
        </w:rPr>
      </w:pPr>
      <w:r>
        <w:rPr>
          <w:b/>
          <w:color w:val="231F20"/>
          <w:sz w:val="18"/>
        </w:rPr>
        <w:t xml:space="preserve">Quadro 2 </w:t>
      </w:r>
      <w:r>
        <w:rPr>
          <w:color w:val="231F20"/>
          <w:sz w:val="18"/>
        </w:rPr>
        <w:t>– Estimativa de Resultado pelo Lucro Presumido</w:t>
      </w:r>
    </w:p>
    <w:p w:rsidR="00774DD5" w:rsidRDefault="00774DD5" w:rsidP="00891971">
      <w:pPr>
        <w:pStyle w:val="Corpodetexto"/>
        <w:rPr>
          <w:sz w:val="3"/>
        </w:rPr>
      </w:pPr>
    </w:p>
    <w:tbl>
      <w:tblPr>
        <w:tblStyle w:val="TableNormal"/>
        <w:tblW w:w="439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63"/>
        <w:gridCol w:w="851"/>
        <w:gridCol w:w="1276"/>
      </w:tblGrid>
      <w:tr w:rsidR="00774DD5" w:rsidTr="00B03589">
        <w:trPr>
          <w:trHeight w:val="225"/>
        </w:trPr>
        <w:tc>
          <w:tcPr>
            <w:tcW w:w="4390" w:type="dxa"/>
            <w:gridSpan w:val="3"/>
          </w:tcPr>
          <w:p w:rsidR="00774DD5" w:rsidRDefault="00774DD5" w:rsidP="00891971">
            <w:pPr>
              <w:pStyle w:val="TableParagraph"/>
              <w:spacing w:before="0" w:line="240" w:lineRule="auto"/>
              <w:rPr>
                <w:b/>
                <w:sz w:val="18"/>
              </w:rPr>
            </w:pPr>
            <w:r>
              <w:rPr>
                <w:b/>
                <w:color w:val="231F20"/>
                <w:sz w:val="18"/>
              </w:rPr>
              <w:t>Regime Tributário - Lucro Presumido</w:t>
            </w:r>
          </w:p>
        </w:tc>
      </w:tr>
      <w:tr w:rsidR="00774DD5" w:rsidTr="00B03589">
        <w:trPr>
          <w:trHeight w:val="225"/>
        </w:trPr>
        <w:tc>
          <w:tcPr>
            <w:tcW w:w="2263" w:type="dxa"/>
          </w:tcPr>
          <w:p w:rsidR="00774DD5" w:rsidRDefault="00774DD5" w:rsidP="00891971">
            <w:pPr>
              <w:pStyle w:val="TableParagraph"/>
              <w:spacing w:before="0" w:line="240" w:lineRule="auto"/>
              <w:rPr>
                <w:b/>
                <w:sz w:val="18"/>
              </w:rPr>
            </w:pPr>
            <w:r>
              <w:rPr>
                <w:b/>
                <w:color w:val="231F20"/>
                <w:sz w:val="18"/>
              </w:rPr>
              <w:t>Receita Bruta</w:t>
            </w:r>
          </w:p>
        </w:tc>
        <w:tc>
          <w:tcPr>
            <w:tcW w:w="851" w:type="dxa"/>
          </w:tcPr>
          <w:p w:rsidR="00774DD5" w:rsidRDefault="00774DD5" w:rsidP="00891971">
            <w:pPr>
              <w:pStyle w:val="TableParagraph"/>
              <w:spacing w:before="0" w:line="240" w:lineRule="auto"/>
              <w:rPr>
                <w:sz w:val="16"/>
              </w:rPr>
            </w:pPr>
          </w:p>
        </w:tc>
        <w:tc>
          <w:tcPr>
            <w:tcW w:w="1276" w:type="dxa"/>
          </w:tcPr>
          <w:p w:rsidR="00774DD5" w:rsidRDefault="00774DD5" w:rsidP="00891971">
            <w:pPr>
              <w:pStyle w:val="TableParagraph"/>
              <w:spacing w:before="0" w:line="240" w:lineRule="auto"/>
              <w:jc w:val="right"/>
              <w:rPr>
                <w:b/>
                <w:sz w:val="18"/>
              </w:rPr>
            </w:pPr>
            <w:r>
              <w:rPr>
                <w:b/>
                <w:color w:val="231F20"/>
                <w:sz w:val="18"/>
              </w:rPr>
              <w:t>12.000.000,00</w:t>
            </w:r>
          </w:p>
        </w:tc>
      </w:tr>
      <w:tr w:rsidR="00774DD5" w:rsidTr="00B03589">
        <w:trPr>
          <w:trHeight w:val="228"/>
        </w:trPr>
        <w:tc>
          <w:tcPr>
            <w:tcW w:w="2263" w:type="dxa"/>
          </w:tcPr>
          <w:p w:rsidR="00774DD5" w:rsidRDefault="00774DD5" w:rsidP="00891971">
            <w:pPr>
              <w:pStyle w:val="TableParagraph"/>
              <w:spacing w:before="0" w:line="240" w:lineRule="auto"/>
              <w:rPr>
                <w:sz w:val="18"/>
              </w:rPr>
            </w:pPr>
            <w:r>
              <w:rPr>
                <w:color w:val="231F20"/>
                <w:sz w:val="18"/>
              </w:rPr>
              <w:t>Deduções da Receita</w:t>
            </w:r>
          </w:p>
        </w:tc>
        <w:tc>
          <w:tcPr>
            <w:tcW w:w="851" w:type="dxa"/>
          </w:tcPr>
          <w:p w:rsidR="00774DD5" w:rsidRDefault="00774DD5" w:rsidP="00891971">
            <w:pPr>
              <w:pStyle w:val="TableParagraph"/>
              <w:spacing w:before="0" w:line="240" w:lineRule="auto"/>
              <w:jc w:val="center"/>
              <w:rPr>
                <w:sz w:val="18"/>
              </w:rPr>
            </w:pPr>
            <w:r>
              <w:rPr>
                <w:color w:val="231F20"/>
                <w:sz w:val="18"/>
              </w:rPr>
              <w:t>Soma</w:t>
            </w:r>
          </w:p>
        </w:tc>
        <w:tc>
          <w:tcPr>
            <w:tcW w:w="1276" w:type="dxa"/>
          </w:tcPr>
          <w:p w:rsidR="00774DD5" w:rsidRDefault="00774DD5" w:rsidP="00891971">
            <w:pPr>
              <w:pStyle w:val="TableParagraph"/>
              <w:spacing w:before="0" w:line="240" w:lineRule="auto"/>
              <w:jc w:val="right"/>
              <w:rPr>
                <w:sz w:val="18"/>
              </w:rPr>
            </w:pPr>
            <w:r>
              <w:rPr>
                <w:color w:val="231F20"/>
                <w:sz w:val="18"/>
              </w:rPr>
              <w:t>2.238.000,00</w:t>
            </w:r>
          </w:p>
        </w:tc>
      </w:tr>
      <w:tr w:rsidR="00774DD5" w:rsidTr="00B03589">
        <w:trPr>
          <w:trHeight w:val="228"/>
        </w:trPr>
        <w:tc>
          <w:tcPr>
            <w:tcW w:w="2263" w:type="dxa"/>
          </w:tcPr>
          <w:p w:rsidR="00774DD5" w:rsidRDefault="00774DD5" w:rsidP="00891971">
            <w:pPr>
              <w:pStyle w:val="TableParagraph"/>
              <w:spacing w:before="0" w:line="240" w:lineRule="auto"/>
              <w:rPr>
                <w:sz w:val="18"/>
              </w:rPr>
            </w:pPr>
            <w:r>
              <w:rPr>
                <w:color w:val="231F20"/>
                <w:sz w:val="18"/>
              </w:rPr>
              <w:t>ICMS</w:t>
            </w:r>
          </w:p>
        </w:tc>
        <w:tc>
          <w:tcPr>
            <w:tcW w:w="851" w:type="dxa"/>
          </w:tcPr>
          <w:p w:rsidR="00774DD5" w:rsidRDefault="00774DD5" w:rsidP="00891971">
            <w:pPr>
              <w:pStyle w:val="TableParagraph"/>
              <w:spacing w:before="0" w:line="240" w:lineRule="auto"/>
              <w:jc w:val="center"/>
              <w:rPr>
                <w:sz w:val="18"/>
              </w:rPr>
            </w:pPr>
            <w:r>
              <w:rPr>
                <w:color w:val="231F20"/>
                <w:sz w:val="18"/>
              </w:rPr>
              <w:t>15,00%</w:t>
            </w:r>
          </w:p>
        </w:tc>
        <w:tc>
          <w:tcPr>
            <w:tcW w:w="1276" w:type="dxa"/>
          </w:tcPr>
          <w:p w:rsidR="00774DD5" w:rsidRDefault="00774DD5" w:rsidP="00891971">
            <w:pPr>
              <w:pStyle w:val="TableParagraph"/>
              <w:spacing w:before="0" w:line="240" w:lineRule="auto"/>
              <w:jc w:val="right"/>
              <w:rPr>
                <w:sz w:val="18"/>
              </w:rPr>
            </w:pPr>
            <w:r>
              <w:rPr>
                <w:color w:val="231F20"/>
                <w:sz w:val="18"/>
              </w:rPr>
              <w:t>1.800.000,00</w:t>
            </w:r>
          </w:p>
        </w:tc>
      </w:tr>
      <w:tr w:rsidR="00774DD5" w:rsidTr="00B03589">
        <w:trPr>
          <w:trHeight w:val="228"/>
        </w:trPr>
        <w:tc>
          <w:tcPr>
            <w:tcW w:w="2263" w:type="dxa"/>
          </w:tcPr>
          <w:p w:rsidR="00774DD5" w:rsidRDefault="00774DD5" w:rsidP="00891971">
            <w:pPr>
              <w:pStyle w:val="TableParagraph"/>
              <w:spacing w:before="0" w:line="240" w:lineRule="auto"/>
              <w:rPr>
                <w:sz w:val="18"/>
              </w:rPr>
            </w:pPr>
            <w:r>
              <w:rPr>
                <w:color w:val="231F20"/>
                <w:sz w:val="18"/>
              </w:rPr>
              <w:t>PIS</w:t>
            </w:r>
          </w:p>
        </w:tc>
        <w:tc>
          <w:tcPr>
            <w:tcW w:w="851" w:type="dxa"/>
          </w:tcPr>
          <w:p w:rsidR="00774DD5" w:rsidRDefault="00774DD5" w:rsidP="00891971">
            <w:pPr>
              <w:pStyle w:val="TableParagraph"/>
              <w:spacing w:before="0" w:line="240" w:lineRule="auto"/>
              <w:jc w:val="center"/>
              <w:rPr>
                <w:sz w:val="18"/>
              </w:rPr>
            </w:pPr>
            <w:r>
              <w:rPr>
                <w:color w:val="231F20"/>
                <w:sz w:val="18"/>
              </w:rPr>
              <w:t>0,65%</w:t>
            </w:r>
          </w:p>
        </w:tc>
        <w:tc>
          <w:tcPr>
            <w:tcW w:w="1276" w:type="dxa"/>
          </w:tcPr>
          <w:p w:rsidR="00774DD5" w:rsidRDefault="00774DD5" w:rsidP="00891971">
            <w:pPr>
              <w:pStyle w:val="TableParagraph"/>
              <w:spacing w:before="0" w:line="240" w:lineRule="auto"/>
              <w:jc w:val="right"/>
              <w:rPr>
                <w:sz w:val="18"/>
              </w:rPr>
            </w:pPr>
            <w:r>
              <w:rPr>
                <w:color w:val="231F20"/>
                <w:sz w:val="18"/>
              </w:rPr>
              <w:t>78.000,00</w:t>
            </w:r>
          </w:p>
        </w:tc>
      </w:tr>
      <w:tr w:rsidR="00774DD5" w:rsidTr="00B03589">
        <w:trPr>
          <w:trHeight w:val="228"/>
        </w:trPr>
        <w:tc>
          <w:tcPr>
            <w:tcW w:w="2263" w:type="dxa"/>
          </w:tcPr>
          <w:p w:rsidR="00774DD5" w:rsidRDefault="00774DD5" w:rsidP="00891971">
            <w:pPr>
              <w:pStyle w:val="TableParagraph"/>
              <w:spacing w:before="0" w:line="240" w:lineRule="auto"/>
              <w:rPr>
                <w:sz w:val="18"/>
              </w:rPr>
            </w:pPr>
            <w:r>
              <w:rPr>
                <w:color w:val="231F20"/>
                <w:sz w:val="18"/>
              </w:rPr>
              <w:t>COFINS</w:t>
            </w:r>
          </w:p>
        </w:tc>
        <w:tc>
          <w:tcPr>
            <w:tcW w:w="851" w:type="dxa"/>
          </w:tcPr>
          <w:p w:rsidR="00774DD5" w:rsidRDefault="00774DD5" w:rsidP="00891971">
            <w:pPr>
              <w:pStyle w:val="TableParagraph"/>
              <w:spacing w:before="0" w:line="240" w:lineRule="auto"/>
              <w:jc w:val="center"/>
              <w:rPr>
                <w:sz w:val="18"/>
              </w:rPr>
            </w:pPr>
            <w:r>
              <w:rPr>
                <w:color w:val="231F20"/>
                <w:sz w:val="18"/>
              </w:rPr>
              <w:t>3,0%</w:t>
            </w:r>
          </w:p>
        </w:tc>
        <w:tc>
          <w:tcPr>
            <w:tcW w:w="1276" w:type="dxa"/>
          </w:tcPr>
          <w:p w:rsidR="00774DD5" w:rsidRDefault="00774DD5" w:rsidP="00891971">
            <w:pPr>
              <w:pStyle w:val="TableParagraph"/>
              <w:spacing w:before="0" w:line="240" w:lineRule="auto"/>
              <w:jc w:val="right"/>
              <w:rPr>
                <w:sz w:val="18"/>
              </w:rPr>
            </w:pPr>
            <w:r>
              <w:rPr>
                <w:color w:val="231F20"/>
                <w:sz w:val="18"/>
              </w:rPr>
              <w:t>360.000,00</w:t>
            </w:r>
          </w:p>
        </w:tc>
      </w:tr>
      <w:tr w:rsidR="00774DD5" w:rsidTr="00B03589">
        <w:trPr>
          <w:trHeight w:val="228"/>
        </w:trPr>
        <w:tc>
          <w:tcPr>
            <w:tcW w:w="2263" w:type="dxa"/>
          </w:tcPr>
          <w:p w:rsidR="00774DD5" w:rsidRDefault="00774DD5" w:rsidP="00891971">
            <w:pPr>
              <w:pStyle w:val="TableParagraph"/>
              <w:spacing w:before="0" w:line="240" w:lineRule="auto"/>
              <w:rPr>
                <w:sz w:val="18"/>
              </w:rPr>
            </w:pPr>
            <w:r>
              <w:rPr>
                <w:color w:val="231F20"/>
                <w:sz w:val="18"/>
              </w:rPr>
              <w:t>Comissões</w:t>
            </w:r>
          </w:p>
        </w:tc>
        <w:tc>
          <w:tcPr>
            <w:tcW w:w="851" w:type="dxa"/>
          </w:tcPr>
          <w:p w:rsidR="00774DD5" w:rsidRDefault="00774DD5" w:rsidP="00891971">
            <w:pPr>
              <w:pStyle w:val="TableParagraph"/>
              <w:spacing w:before="0" w:line="240" w:lineRule="auto"/>
              <w:rPr>
                <w:sz w:val="16"/>
              </w:rPr>
            </w:pPr>
          </w:p>
        </w:tc>
        <w:tc>
          <w:tcPr>
            <w:tcW w:w="1276" w:type="dxa"/>
          </w:tcPr>
          <w:p w:rsidR="00774DD5" w:rsidRDefault="00774DD5" w:rsidP="00891971">
            <w:pPr>
              <w:pStyle w:val="TableParagraph"/>
              <w:spacing w:before="0" w:line="240" w:lineRule="auto"/>
              <w:jc w:val="right"/>
              <w:rPr>
                <w:sz w:val="18"/>
              </w:rPr>
            </w:pPr>
            <w:r>
              <w:rPr>
                <w:color w:val="231F20"/>
                <w:sz w:val="18"/>
              </w:rPr>
              <w:t>0,00</w:t>
            </w:r>
          </w:p>
        </w:tc>
      </w:tr>
      <w:tr w:rsidR="00774DD5" w:rsidTr="00B03589">
        <w:trPr>
          <w:trHeight w:val="225"/>
        </w:trPr>
        <w:tc>
          <w:tcPr>
            <w:tcW w:w="2263" w:type="dxa"/>
          </w:tcPr>
          <w:p w:rsidR="00774DD5" w:rsidRDefault="00774DD5" w:rsidP="00891971">
            <w:pPr>
              <w:pStyle w:val="TableParagraph"/>
              <w:spacing w:before="0" w:line="240" w:lineRule="auto"/>
              <w:rPr>
                <w:b/>
                <w:sz w:val="18"/>
              </w:rPr>
            </w:pPr>
            <w:r>
              <w:rPr>
                <w:b/>
                <w:color w:val="231F20"/>
                <w:sz w:val="18"/>
              </w:rPr>
              <w:t>Receita Líquida</w:t>
            </w:r>
          </w:p>
        </w:tc>
        <w:tc>
          <w:tcPr>
            <w:tcW w:w="851" w:type="dxa"/>
          </w:tcPr>
          <w:p w:rsidR="00774DD5" w:rsidRDefault="00774DD5" w:rsidP="00891971">
            <w:pPr>
              <w:pStyle w:val="TableParagraph"/>
              <w:spacing w:before="0" w:line="240" w:lineRule="auto"/>
              <w:rPr>
                <w:sz w:val="16"/>
              </w:rPr>
            </w:pPr>
          </w:p>
        </w:tc>
        <w:tc>
          <w:tcPr>
            <w:tcW w:w="1276" w:type="dxa"/>
          </w:tcPr>
          <w:p w:rsidR="00774DD5" w:rsidRDefault="00774DD5" w:rsidP="00891971">
            <w:pPr>
              <w:pStyle w:val="TableParagraph"/>
              <w:spacing w:before="0" w:line="240" w:lineRule="auto"/>
              <w:jc w:val="right"/>
              <w:rPr>
                <w:b/>
                <w:sz w:val="18"/>
              </w:rPr>
            </w:pPr>
            <w:r>
              <w:rPr>
                <w:b/>
                <w:color w:val="231F20"/>
                <w:sz w:val="18"/>
              </w:rPr>
              <w:t>9.762.000,00</w:t>
            </w:r>
          </w:p>
        </w:tc>
      </w:tr>
      <w:tr w:rsidR="00774DD5" w:rsidTr="00B03589">
        <w:trPr>
          <w:trHeight w:val="228"/>
        </w:trPr>
        <w:tc>
          <w:tcPr>
            <w:tcW w:w="2263" w:type="dxa"/>
          </w:tcPr>
          <w:p w:rsidR="00774DD5" w:rsidRDefault="00774DD5" w:rsidP="00891971">
            <w:pPr>
              <w:pStyle w:val="TableParagraph"/>
              <w:spacing w:before="0" w:line="240" w:lineRule="auto"/>
              <w:rPr>
                <w:sz w:val="18"/>
              </w:rPr>
            </w:pPr>
            <w:r>
              <w:rPr>
                <w:color w:val="231F20"/>
                <w:sz w:val="18"/>
              </w:rPr>
              <w:t>Custo dos Produtos Vendidos</w:t>
            </w:r>
          </w:p>
        </w:tc>
        <w:tc>
          <w:tcPr>
            <w:tcW w:w="851" w:type="dxa"/>
          </w:tcPr>
          <w:p w:rsidR="00774DD5" w:rsidRDefault="00774DD5" w:rsidP="00891971">
            <w:pPr>
              <w:pStyle w:val="TableParagraph"/>
              <w:spacing w:before="0" w:line="240" w:lineRule="auto"/>
              <w:jc w:val="center"/>
              <w:rPr>
                <w:sz w:val="18"/>
              </w:rPr>
            </w:pPr>
            <w:r>
              <w:rPr>
                <w:color w:val="231F20"/>
                <w:sz w:val="18"/>
              </w:rPr>
              <w:t>66,4%</w:t>
            </w:r>
          </w:p>
        </w:tc>
        <w:tc>
          <w:tcPr>
            <w:tcW w:w="1276" w:type="dxa"/>
          </w:tcPr>
          <w:p w:rsidR="00774DD5" w:rsidRDefault="00774DD5" w:rsidP="00891971">
            <w:pPr>
              <w:pStyle w:val="TableParagraph"/>
              <w:spacing w:before="0" w:line="240" w:lineRule="auto"/>
              <w:jc w:val="right"/>
              <w:rPr>
                <w:sz w:val="18"/>
              </w:rPr>
            </w:pPr>
            <w:r>
              <w:rPr>
                <w:color w:val="231F20"/>
                <w:sz w:val="18"/>
              </w:rPr>
              <w:t>7.000.350,02</w:t>
            </w:r>
          </w:p>
        </w:tc>
      </w:tr>
      <w:tr w:rsidR="00774DD5" w:rsidTr="00B03589">
        <w:trPr>
          <w:trHeight w:val="228"/>
        </w:trPr>
        <w:tc>
          <w:tcPr>
            <w:tcW w:w="2263" w:type="dxa"/>
          </w:tcPr>
          <w:p w:rsidR="00774DD5" w:rsidRDefault="00774DD5" w:rsidP="00891971">
            <w:pPr>
              <w:pStyle w:val="TableParagraph"/>
              <w:spacing w:before="0" w:line="240" w:lineRule="auto"/>
              <w:rPr>
                <w:sz w:val="18"/>
              </w:rPr>
            </w:pPr>
            <w:r>
              <w:rPr>
                <w:color w:val="231F20"/>
                <w:sz w:val="18"/>
              </w:rPr>
              <w:t>ICMS (crédito)</w:t>
            </w:r>
          </w:p>
        </w:tc>
        <w:tc>
          <w:tcPr>
            <w:tcW w:w="851" w:type="dxa"/>
          </w:tcPr>
          <w:p w:rsidR="00774DD5" w:rsidRDefault="00774DD5" w:rsidP="00891971">
            <w:pPr>
              <w:pStyle w:val="TableParagraph"/>
              <w:spacing w:before="0" w:line="240" w:lineRule="auto"/>
              <w:jc w:val="center"/>
              <w:rPr>
                <w:sz w:val="18"/>
              </w:rPr>
            </w:pPr>
            <w:r>
              <w:rPr>
                <w:color w:val="231F20"/>
                <w:sz w:val="18"/>
              </w:rPr>
              <w:t>15,0%</w:t>
            </w:r>
          </w:p>
        </w:tc>
        <w:tc>
          <w:tcPr>
            <w:tcW w:w="1276" w:type="dxa"/>
          </w:tcPr>
          <w:p w:rsidR="00774DD5" w:rsidRDefault="00774DD5" w:rsidP="00891971">
            <w:pPr>
              <w:pStyle w:val="TableParagraph"/>
              <w:spacing w:before="0" w:line="240" w:lineRule="auto"/>
              <w:jc w:val="right"/>
              <w:rPr>
                <w:sz w:val="18"/>
              </w:rPr>
            </w:pPr>
            <w:r>
              <w:rPr>
                <w:color w:val="231F20"/>
                <w:sz w:val="18"/>
              </w:rPr>
              <w:t>1.050.052,50</w:t>
            </w:r>
          </w:p>
        </w:tc>
      </w:tr>
      <w:tr w:rsidR="00774DD5" w:rsidTr="00B03589">
        <w:trPr>
          <w:trHeight w:val="228"/>
        </w:trPr>
        <w:tc>
          <w:tcPr>
            <w:tcW w:w="2263" w:type="dxa"/>
          </w:tcPr>
          <w:p w:rsidR="00774DD5" w:rsidRDefault="00774DD5" w:rsidP="00891971">
            <w:pPr>
              <w:pStyle w:val="TableParagraph"/>
              <w:spacing w:before="0" w:line="240" w:lineRule="auto"/>
              <w:rPr>
                <w:sz w:val="18"/>
              </w:rPr>
            </w:pPr>
            <w:r>
              <w:rPr>
                <w:color w:val="231F20"/>
                <w:sz w:val="18"/>
              </w:rPr>
              <w:t>Produtos</w:t>
            </w:r>
          </w:p>
        </w:tc>
        <w:tc>
          <w:tcPr>
            <w:tcW w:w="851" w:type="dxa"/>
          </w:tcPr>
          <w:p w:rsidR="00774DD5" w:rsidRDefault="00774DD5" w:rsidP="00891971">
            <w:pPr>
              <w:pStyle w:val="TableParagraph"/>
              <w:spacing w:before="0" w:line="240" w:lineRule="auto"/>
              <w:jc w:val="center"/>
              <w:rPr>
                <w:sz w:val="18"/>
              </w:rPr>
            </w:pPr>
            <w:r>
              <w:rPr>
                <w:color w:val="231F20"/>
                <w:sz w:val="18"/>
              </w:rPr>
              <w:t>Liquido</w:t>
            </w:r>
          </w:p>
        </w:tc>
        <w:tc>
          <w:tcPr>
            <w:tcW w:w="1276" w:type="dxa"/>
          </w:tcPr>
          <w:p w:rsidR="00774DD5" w:rsidRDefault="00774DD5" w:rsidP="00891971">
            <w:pPr>
              <w:pStyle w:val="TableParagraph"/>
              <w:spacing w:before="0" w:line="240" w:lineRule="auto"/>
              <w:jc w:val="right"/>
              <w:rPr>
                <w:sz w:val="18"/>
              </w:rPr>
            </w:pPr>
            <w:r>
              <w:rPr>
                <w:color w:val="231F20"/>
                <w:sz w:val="18"/>
              </w:rPr>
              <w:t>5.950.297,52</w:t>
            </w:r>
          </w:p>
        </w:tc>
      </w:tr>
      <w:tr w:rsidR="00774DD5" w:rsidTr="00B03589">
        <w:trPr>
          <w:trHeight w:val="225"/>
        </w:trPr>
        <w:tc>
          <w:tcPr>
            <w:tcW w:w="2263" w:type="dxa"/>
          </w:tcPr>
          <w:p w:rsidR="00774DD5" w:rsidRDefault="00774DD5" w:rsidP="00891971">
            <w:pPr>
              <w:pStyle w:val="TableParagraph"/>
              <w:spacing w:before="0" w:line="240" w:lineRule="auto"/>
              <w:rPr>
                <w:b/>
                <w:sz w:val="18"/>
              </w:rPr>
            </w:pPr>
            <w:r>
              <w:rPr>
                <w:b/>
                <w:color w:val="231F20"/>
                <w:sz w:val="18"/>
              </w:rPr>
              <w:t>Lucro Bruto</w:t>
            </w:r>
          </w:p>
        </w:tc>
        <w:tc>
          <w:tcPr>
            <w:tcW w:w="851" w:type="dxa"/>
          </w:tcPr>
          <w:p w:rsidR="00774DD5" w:rsidRDefault="00774DD5" w:rsidP="00891971">
            <w:pPr>
              <w:pStyle w:val="TableParagraph"/>
              <w:spacing w:before="0" w:line="240" w:lineRule="auto"/>
              <w:rPr>
                <w:sz w:val="16"/>
              </w:rPr>
            </w:pPr>
          </w:p>
        </w:tc>
        <w:tc>
          <w:tcPr>
            <w:tcW w:w="1276" w:type="dxa"/>
          </w:tcPr>
          <w:p w:rsidR="00774DD5" w:rsidRDefault="00774DD5" w:rsidP="00891971">
            <w:pPr>
              <w:pStyle w:val="TableParagraph"/>
              <w:spacing w:before="0" w:line="240" w:lineRule="auto"/>
              <w:jc w:val="right"/>
              <w:rPr>
                <w:b/>
                <w:sz w:val="18"/>
              </w:rPr>
            </w:pPr>
            <w:r>
              <w:rPr>
                <w:b/>
                <w:color w:val="231F20"/>
                <w:sz w:val="18"/>
              </w:rPr>
              <w:t>3.811.702,48</w:t>
            </w:r>
          </w:p>
        </w:tc>
      </w:tr>
      <w:tr w:rsidR="00774DD5" w:rsidTr="00B03589">
        <w:trPr>
          <w:trHeight w:val="228"/>
        </w:trPr>
        <w:tc>
          <w:tcPr>
            <w:tcW w:w="2263" w:type="dxa"/>
          </w:tcPr>
          <w:p w:rsidR="00774DD5" w:rsidRDefault="00774DD5" w:rsidP="00891971">
            <w:pPr>
              <w:pStyle w:val="TableParagraph"/>
              <w:spacing w:before="0" w:line="240" w:lineRule="auto"/>
              <w:rPr>
                <w:sz w:val="18"/>
              </w:rPr>
            </w:pPr>
            <w:r>
              <w:rPr>
                <w:color w:val="231F20"/>
                <w:sz w:val="18"/>
              </w:rPr>
              <w:t>Despesas operacionais</w:t>
            </w:r>
          </w:p>
        </w:tc>
        <w:tc>
          <w:tcPr>
            <w:tcW w:w="851" w:type="dxa"/>
          </w:tcPr>
          <w:p w:rsidR="00774DD5" w:rsidRDefault="00774DD5" w:rsidP="00891971">
            <w:pPr>
              <w:pStyle w:val="TableParagraph"/>
              <w:spacing w:before="0" w:line="240" w:lineRule="auto"/>
              <w:rPr>
                <w:sz w:val="16"/>
              </w:rPr>
            </w:pPr>
          </w:p>
        </w:tc>
        <w:tc>
          <w:tcPr>
            <w:tcW w:w="1276" w:type="dxa"/>
          </w:tcPr>
          <w:p w:rsidR="00774DD5" w:rsidRDefault="00774DD5" w:rsidP="00891971">
            <w:pPr>
              <w:pStyle w:val="TableParagraph"/>
              <w:spacing w:before="0" w:line="240" w:lineRule="auto"/>
              <w:jc w:val="right"/>
              <w:rPr>
                <w:sz w:val="18"/>
              </w:rPr>
            </w:pPr>
            <w:r>
              <w:rPr>
                <w:color w:val="231F20"/>
                <w:sz w:val="18"/>
              </w:rPr>
              <w:t>1.724.333,94</w:t>
            </w:r>
          </w:p>
        </w:tc>
      </w:tr>
      <w:tr w:rsidR="00774DD5" w:rsidTr="00B03589">
        <w:trPr>
          <w:trHeight w:val="225"/>
        </w:trPr>
        <w:tc>
          <w:tcPr>
            <w:tcW w:w="2263" w:type="dxa"/>
          </w:tcPr>
          <w:p w:rsidR="00774DD5" w:rsidRDefault="00774DD5" w:rsidP="00891971">
            <w:pPr>
              <w:pStyle w:val="TableParagraph"/>
              <w:spacing w:before="0" w:line="240" w:lineRule="auto"/>
              <w:rPr>
                <w:b/>
                <w:sz w:val="18"/>
              </w:rPr>
            </w:pPr>
            <w:r>
              <w:rPr>
                <w:b/>
                <w:color w:val="231F20"/>
                <w:sz w:val="18"/>
              </w:rPr>
              <w:t>LAIR</w:t>
            </w:r>
          </w:p>
        </w:tc>
        <w:tc>
          <w:tcPr>
            <w:tcW w:w="851" w:type="dxa"/>
          </w:tcPr>
          <w:p w:rsidR="00774DD5" w:rsidRDefault="00774DD5" w:rsidP="00891971">
            <w:pPr>
              <w:pStyle w:val="TableParagraph"/>
              <w:spacing w:before="0" w:line="240" w:lineRule="auto"/>
              <w:rPr>
                <w:sz w:val="16"/>
              </w:rPr>
            </w:pPr>
          </w:p>
        </w:tc>
        <w:tc>
          <w:tcPr>
            <w:tcW w:w="1276" w:type="dxa"/>
          </w:tcPr>
          <w:p w:rsidR="00774DD5" w:rsidRDefault="00774DD5" w:rsidP="00891971">
            <w:pPr>
              <w:pStyle w:val="TableParagraph"/>
              <w:spacing w:before="0" w:line="240" w:lineRule="auto"/>
              <w:jc w:val="right"/>
              <w:rPr>
                <w:b/>
                <w:sz w:val="18"/>
              </w:rPr>
            </w:pPr>
            <w:r>
              <w:rPr>
                <w:b/>
                <w:color w:val="231F20"/>
                <w:sz w:val="18"/>
              </w:rPr>
              <w:t>2.087.368,54</w:t>
            </w:r>
          </w:p>
        </w:tc>
      </w:tr>
      <w:tr w:rsidR="00774DD5" w:rsidTr="00B03589">
        <w:trPr>
          <w:trHeight w:val="228"/>
        </w:trPr>
        <w:tc>
          <w:tcPr>
            <w:tcW w:w="2263" w:type="dxa"/>
          </w:tcPr>
          <w:p w:rsidR="00774DD5" w:rsidRDefault="00774DD5" w:rsidP="00891971">
            <w:pPr>
              <w:pStyle w:val="TableParagraph"/>
              <w:spacing w:before="0" w:line="240" w:lineRule="auto"/>
              <w:rPr>
                <w:sz w:val="18"/>
              </w:rPr>
            </w:pPr>
            <w:r>
              <w:rPr>
                <w:color w:val="231F20"/>
                <w:sz w:val="18"/>
              </w:rPr>
              <w:t>Cálculo do IRPJ</w:t>
            </w:r>
          </w:p>
        </w:tc>
        <w:tc>
          <w:tcPr>
            <w:tcW w:w="851" w:type="dxa"/>
          </w:tcPr>
          <w:p w:rsidR="00774DD5" w:rsidRDefault="00774DD5" w:rsidP="00891971">
            <w:pPr>
              <w:pStyle w:val="TableParagraph"/>
              <w:spacing w:before="0" w:line="240" w:lineRule="auto"/>
              <w:rPr>
                <w:sz w:val="16"/>
              </w:rPr>
            </w:pPr>
          </w:p>
        </w:tc>
        <w:tc>
          <w:tcPr>
            <w:tcW w:w="1276" w:type="dxa"/>
          </w:tcPr>
          <w:p w:rsidR="00774DD5" w:rsidRDefault="00774DD5" w:rsidP="00891971">
            <w:pPr>
              <w:pStyle w:val="TableParagraph"/>
              <w:spacing w:before="0" w:line="240" w:lineRule="auto"/>
              <w:rPr>
                <w:sz w:val="16"/>
              </w:rPr>
            </w:pPr>
          </w:p>
        </w:tc>
      </w:tr>
      <w:tr w:rsidR="00774DD5" w:rsidTr="00B03589">
        <w:trPr>
          <w:trHeight w:val="228"/>
        </w:trPr>
        <w:tc>
          <w:tcPr>
            <w:tcW w:w="2263" w:type="dxa"/>
          </w:tcPr>
          <w:p w:rsidR="00774DD5" w:rsidRDefault="00774DD5" w:rsidP="00891971">
            <w:pPr>
              <w:pStyle w:val="TableParagraph"/>
              <w:spacing w:before="0" w:line="240" w:lineRule="auto"/>
              <w:rPr>
                <w:sz w:val="18"/>
              </w:rPr>
            </w:pPr>
            <w:r>
              <w:rPr>
                <w:color w:val="231F20"/>
                <w:sz w:val="18"/>
              </w:rPr>
              <w:t>Base de cálculo (8% x rec. bruta)</w:t>
            </w:r>
          </w:p>
        </w:tc>
        <w:tc>
          <w:tcPr>
            <w:tcW w:w="851" w:type="dxa"/>
          </w:tcPr>
          <w:p w:rsidR="00774DD5" w:rsidRDefault="00774DD5" w:rsidP="00891971">
            <w:pPr>
              <w:pStyle w:val="TableParagraph"/>
              <w:spacing w:before="0" w:line="240" w:lineRule="auto"/>
              <w:jc w:val="center"/>
              <w:rPr>
                <w:sz w:val="18"/>
              </w:rPr>
            </w:pPr>
            <w:r>
              <w:rPr>
                <w:color w:val="231F20"/>
                <w:sz w:val="18"/>
              </w:rPr>
              <w:t>8%</w:t>
            </w:r>
          </w:p>
        </w:tc>
        <w:tc>
          <w:tcPr>
            <w:tcW w:w="1276" w:type="dxa"/>
          </w:tcPr>
          <w:p w:rsidR="00774DD5" w:rsidRDefault="00774DD5" w:rsidP="00891971">
            <w:pPr>
              <w:pStyle w:val="TableParagraph"/>
              <w:spacing w:before="0" w:line="240" w:lineRule="auto"/>
              <w:jc w:val="right"/>
              <w:rPr>
                <w:sz w:val="18"/>
              </w:rPr>
            </w:pPr>
            <w:r>
              <w:rPr>
                <w:color w:val="231F20"/>
                <w:sz w:val="18"/>
              </w:rPr>
              <w:t>960.000,00</w:t>
            </w:r>
          </w:p>
        </w:tc>
      </w:tr>
      <w:tr w:rsidR="00774DD5" w:rsidTr="00B03589">
        <w:trPr>
          <w:trHeight w:val="228"/>
        </w:trPr>
        <w:tc>
          <w:tcPr>
            <w:tcW w:w="2263" w:type="dxa"/>
          </w:tcPr>
          <w:p w:rsidR="00774DD5" w:rsidRDefault="00774DD5" w:rsidP="00891971">
            <w:pPr>
              <w:pStyle w:val="TableParagraph"/>
              <w:spacing w:before="0" w:line="240" w:lineRule="auto"/>
              <w:rPr>
                <w:sz w:val="18"/>
              </w:rPr>
            </w:pPr>
            <w:r>
              <w:rPr>
                <w:color w:val="231F20"/>
                <w:sz w:val="18"/>
              </w:rPr>
              <w:t>IRPJ</w:t>
            </w:r>
          </w:p>
        </w:tc>
        <w:tc>
          <w:tcPr>
            <w:tcW w:w="851" w:type="dxa"/>
          </w:tcPr>
          <w:p w:rsidR="00774DD5" w:rsidRDefault="00774DD5" w:rsidP="00891971">
            <w:pPr>
              <w:pStyle w:val="TableParagraph"/>
              <w:spacing w:before="0" w:line="240" w:lineRule="auto"/>
              <w:jc w:val="center"/>
              <w:rPr>
                <w:sz w:val="18"/>
              </w:rPr>
            </w:pPr>
            <w:r>
              <w:rPr>
                <w:color w:val="231F20"/>
                <w:sz w:val="18"/>
              </w:rPr>
              <w:t>15%</w:t>
            </w:r>
          </w:p>
        </w:tc>
        <w:tc>
          <w:tcPr>
            <w:tcW w:w="1276" w:type="dxa"/>
          </w:tcPr>
          <w:p w:rsidR="00774DD5" w:rsidRDefault="00774DD5" w:rsidP="00891971">
            <w:pPr>
              <w:pStyle w:val="TableParagraph"/>
              <w:spacing w:before="0" w:line="240" w:lineRule="auto"/>
              <w:jc w:val="right"/>
              <w:rPr>
                <w:sz w:val="18"/>
              </w:rPr>
            </w:pPr>
            <w:r>
              <w:rPr>
                <w:color w:val="231F20"/>
                <w:sz w:val="18"/>
              </w:rPr>
              <w:t>144.000,00</w:t>
            </w:r>
          </w:p>
        </w:tc>
      </w:tr>
      <w:tr w:rsidR="00774DD5" w:rsidTr="00B03589">
        <w:trPr>
          <w:trHeight w:val="428"/>
        </w:trPr>
        <w:tc>
          <w:tcPr>
            <w:tcW w:w="2263" w:type="dxa"/>
          </w:tcPr>
          <w:p w:rsidR="00774DD5" w:rsidRDefault="00774DD5" w:rsidP="00891971">
            <w:pPr>
              <w:pStyle w:val="TableParagraph"/>
              <w:spacing w:before="0" w:line="240" w:lineRule="auto"/>
              <w:rPr>
                <w:sz w:val="18"/>
              </w:rPr>
            </w:pPr>
            <w:r>
              <w:rPr>
                <w:color w:val="231F20"/>
                <w:sz w:val="18"/>
              </w:rPr>
              <w:t>IRPJ adicional (descto $240mil base)</w:t>
            </w:r>
          </w:p>
        </w:tc>
        <w:tc>
          <w:tcPr>
            <w:tcW w:w="851" w:type="dxa"/>
          </w:tcPr>
          <w:p w:rsidR="00774DD5" w:rsidRDefault="00774DD5" w:rsidP="00891971">
            <w:pPr>
              <w:pStyle w:val="TableParagraph"/>
              <w:spacing w:before="0" w:line="240" w:lineRule="auto"/>
              <w:jc w:val="center"/>
              <w:rPr>
                <w:sz w:val="18"/>
              </w:rPr>
            </w:pPr>
            <w:r>
              <w:rPr>
                <w:color w:val="231F20"/>
                <w:sz w:val="18"/>
              </w:rPr>
              <w:t>10%</w:t>
            </w:r>
          </w:p>
        </w:tc>
        <w:tc>
          <w:tcPr>
            <w:tcW w:w="1276" w:type="dxa"/>
          </w:tcPr>
          <w:p w:rsidR="00774DD5" w:rsidRDefault="00774DD5" w:rsidP="00891971">
            <w:pPr>
              <w:pStyle w:val="TableParagraph"/>
              <w:spacing w:before="0" w:line="240" w:lineRule="auto"/>
              <w:jc w:val="right"/>
              <w:rPr>
                <w:sz w:val="18"/>
              </w:rPr>
            </w:pPr>
            <w:r>
              <w:rPr>
                <w:color w:val="231F20"/>
                <w:sz w:val="18"/>
              </w:rPr>
              <w:t>72.000,00</w:t>
            </w:r>
          </w:p>
        </w:tc>
      </w:tr>
      <w:tr w:rsidR="00774DD5" w:rsidTr="00B03589">
        <w:trPr>
          <w:trHeight w:val="228"/>
        </w:trPr>
        <w:tc>
          <w:tcPr>
            <w:tcW w:w="2263" w:type="dxa"/>
          </w:tcPr>
          <w:p w:rsidR="00774DD5" w:rsidRDefault="00774DD5" w:rsidP="00891971">
            <w:pPr>
              <w:pStyle w:val="TableParagraph"/>
              <w:spacing w:before="0" w:line="240" w:lineRule="auto"/>
              <w:rPr>
                <w:sz w:val="18"/>
              </w:rPr>
            </w:pPr>
            <w:r>
              <w:rPr>
                <w:color w:val="231F20"/>
                <w:sz w:val="18"/>
              </w:rPr>
              <w:t>Cálculo do CSLL</w:t>
            </w:r>
          </w:p>
        </w:tc>
        <w:tc>
          <w:tcPr>
            <w:tcW w:w="851" w:type="dxa"/>
          </w:tcPr>
          <w:p w:rsidR="00774DD5" w:rsidRDefault="00774DD5" w:rsidP="00891971">
            <w:pPr>
              <w:pStyle w:val="TableParagraph"/>
              <w:spacing w:before="0" w:line="240" w:lineRule="auto"/>
              <w:rPr>
                <w:sz w:val="16"/>
              </w:rPr>
            </w:pPr>
          </w:p>
        </w:tc>
        <w:tc>
          <w:tcPr>
            <w:tcW w:w="1276" w:type="dxa"/>
          </w:tcPr>
          <w:p w:rsidR="00774DD5" w:rsidRDefault="00774DD5" w:rsidP="00891971">
            <w:pPr>
              <w:pStyle w:val="TableParagraph"/>
              <w:spacing w:before="0" w:line="240" w:lineRule="auto"/>
              <w:rPr>
                <w:sz w:val="16"/>
              </w:rPr>
            </w:pPr>
          </w:p>
        </w:tc>
      </w:tr>
      <w:tr w:rsidR="00774DD5" w:rsidTr="00B03589">
        <w:trPr>
          <w:trHeight w:val="228"/>
        </w:trPr>
        <w:tc>
          <w:tcPr>
            <w:tcW w:w="2263" w:type="dxa"/>
          </w:tcPr>
          <w:p w:rsidR="00774DD5" w:rsidRDefault="00774DD5" w:rsidP="00891971">
            <w:pPr>
              <w:pStyle w:val="TableParagraph"/>
              <w:spacing w:before="0" w:line="240" w:lineRule="auto"/>
              <w:rPr>
                <w:sz w:val="18"/>
              </w:rPr>
            </w:pPr>
            <w:r>
              <w:rPr>
                <w:color w:val="231F20"/>
                <w:sz w:val="18"/>
              </w:rPr>
              <w:t>Base de cálculo (12% x rec. bruta)</w:t>
            </w:r>
          </w:p>
        </w:tc>
        <w:tc>
          <w:tcPr>
            <w:tcW w:w="851" w:type="dxa"/>
          </w:tcPr>
          <w:p w:rsidR="00774DD5" w:rsidRDefault="00774DD5" w:rsidP="00891971">
            <w:pPr>
              <w:pStyle w:val="TableParagraph"/>
              <w:spacing w:before="0" w:line="240" w:lineRule="auto"/>
              <w:jc w:val="center"/>
              <w:rPr>
                <w:sz w:val="18"/>
              </w:rPr>
            </w:pPr>
            <w:r>
              <w:rPr>
                <w:color w:val="231F20"/>
                <w:sz w:val="18"/>
              </w:rPr>
              <w:t>12%</w:t>
            </w:r>
          </w:p>
        </w:tc>
        <w:tc>
          <w:tcPr>
            <w:tcW w:w="1276" w:type="dxa"/>
          </w:tcPr>
          <w:p w:rsidR="00774DD5" w:rsidRDefault="00774DD5" w:rsidP="00891971">
            <w:pPr>
              <w:pStyle w:val="TableParagraph"/>
              <w:spacing w:before="0" w:line="240" w:lineRule="auto"/>
              <w:jc w:val="right"/>
              <w:rPr>
                <w:sz w:val="18"/>
              </w:rPr>
            </w:pPr>
            <w:r>
              <w:rPr>
                <w:color w:val="231F20"/>
                <w:sz w:val="18"/>
              </w:rPr>
              <w:t>1.440.000,00</w:t>
            </w:r>
          </w:p>
        </w:tc>
      </w:tr>
      <w:tr w:rsidR="00774DD5" w:rsidTr="00B03589">
        <w:trPr>
          <w:trHeight w:val="228"/>
        </w:trPr>
        <w:tc>
          <w:tcPr>
            <w:tcW w:w="2263" w:type="dxa"/>
          </w:tcPr>
          <w:p w:rsidR="00774DD5" w:rsidRDefault="00774DD5" w:rsidP="00891971">
            <w:pPr>
              <w:pStyle w:val="TableParagraph"/>
              <w:spacing w:before="0" w:line="240" w:lineRule="auto"/>
              <w:rPr>
                <w:sz w:val="18"/>
              </w:rPr>
            </w:pPr>
            <w:r>
              <w:rPr>
                <w:color w:val="231F20"/>
                <w:sz w:val="18"/>
              </w:rPr>
              <w:t>CSLL</w:t>
            </w:r>
          </w:p>
        </w:tc>
        <w:tc>
          <w:tcPr>
            <w:tcW w:w="851" w:type="dxa"/>
          </w:tcPr>
          <w:p w:rsidR="00774DD5" w:rsidRDefault="00774DD5" w:rsidP="00891971">
            <w:pPr>
              <w:pStyle w:val="TableParagraph"/>
              <w:spacing w:before="0" w:line="240" w:lineRule="auto"/>
              <w:jc w:val="center"/>
              <w:rPr>
                <w:sz w:val="18"/>
              </w:rPr>
            </w:pPr>
            <w:r>
              <w:rPr>
                <w:color w:val="231F20"/>
                <w:sz w:val="18"/>
              </w:rPr>
              <w:t>9%</w:t>
            </w:r>
          </w:p>
        </w:tc>
        <w:tc>
          <w:tcPr>
            <w:tcW w:w="1276" w:type="dxa"/>
          </w:tcPr>
          <w:p w:rsidR="00774DD5" w:rsidRDefault="00774DD5" w:rsidP="00891971">
            <w:pPr>
              <w:pStyle w:val="TableParagraph"/>
              <w:spacing w:before="0" w:line="240" w:lineRule="auto"/>
              <w:jc w:val="right"/>
              <w:rPr>
                <w:sz w:val="18"/>
              </w:rPr>
            </w:pPr>
            <w:r>
              <w:rPr>
                <w:color w:val="231F20"/>
                <w:sz w:val="18"/>
              </w:rPr>
              <w:t>129.600,00</w:t>
            </w:r>
          </w:p>
        </w:tc>
      </w:tr>
      <w:tr w:rsidR="00774DD5" w:rsidTr="00B03589">
        <w:trPr>
          <w:trHeight w:val="225"/>
        </w:trPr>
        <w:tc>
          <w:tcPr>
            <w:tcW w:w="2263" w:type="dxa"/>
          </w:tcPr>
          <w:p w:rsidR="00774DD5" w:rsidRDefault="00774DD5" w:rsidP="00891971">
            <w:pPr>
              <w:pStyle w:val="TableParagraph"/>
              <w:spacing w:before="0" w:line="240" w:lineRule="auto"/>
              <w:rPr>
                <w:b/>
                <w:sz w:val="18"/>
              </w:rPr>
            </w:pPr>
            <w:r>
              <w:rPr>
                <w:b/>
                <w:color w:val="231F20"/>
                <w:sz w:val="18"/>
              </w:rPr>
              <w:t>Lucro Líquido</w:t>
            </w:r>
          </w:p>
        </w:tc>
        <w:tc>
          <w:tcPr>
            <w:tcW w:w="851" w:type="dxa"/>
          </w:tcPr>
          <w:p w:rsidR="00774DD5" w:rsidRDefault="00774DD5" w:rsidP="00891971">
            <w:pPr>
              <w:pStyle w:val="TableParagraph"/>
              <w:spacing w:before="0" w:line="240" w:lineRule="auto"/>
              <w:rPr>
                <w:sz w:val="16"/>
              </w:rPr>
            </w:pPr>
          </w:p>
        </w:tc>
        <w:tc>
          <w:tcPr>
            <w:tcW w:w="1276" w:type="dxa"/>
          </w:tcPr>
          <w:p w:rsidR="00774DD5" w:rsidRDefault="00774DD5" w:rsidP="00891971">
            <w:pPr>
              <w:pStyle w:val="TableParagraph"/>
              <w:spacing w:before="0" w:line="240" w:lineRule="auto"/>
              <w:jc w:val="right"/>
              <w:rPr>
                <w:b/>
                <w:sz w:val="18"/>
              </w:rPr>
            </w:pPr>
            <w:r>
              <w:rPr>
                <w:b/>
                <w:color w:val="231F20"/>
                <w:sz w:val="18"/>
              </w:rPr>
              <w:t>1.741.768,54</w:t>
            </w:r>
          </w:p>
        </w:tc>
      </w:tr>
      <w:tr w:rsidR="00774DD5" w:rsidTr="00B03589">
        <w:trPr>
          <w:trHeight w:val="225"/>
        </w:trPr>
        <w:tc>
          <w:tcPr>
            <w:tcW w:w="2263" w:type="dxa"/>
          </w:tcPr>
          <w:p w:rsidR="00774DD5" w:rsidRDefault="00774DD5" w:rsidP="00891971">
            <w:pPr>
              <w:pStyle w:val="TableParagraph"/>
              <w:spacing w:before="0" w:line="240" w:lineRule="auto"/>
              <w:rPr>
                <w:b/>
                <w:sz w:val="18"/>
              </w:rPr>
            </w:pPr>
            <w:r>
              <w:rPr>
                <w:b/>
                <w:color w:val="231F20"/>
                <w:sz w:val="18"/>
              </w:rPr>
              <w:t>Impostos</w:t>
            </w:r>
          </w:p>
        </w:tc>
        <w:tc>
          <w:tcPr>
            <w:tcW w:w="851" w:type="dxa"/>
          </w:tcPr>
          <w:p w:rsidR="00774DD5" w:rsidRDefault="00774DD5" w:rsidP="00891971">
            <w:pPr>
              <w:pStyle w:val="TableParagraph"/>
              <w:spacing w:before="0" w:line="240" w:lineRule="auto"/>
              <w:rPr>
                <w:sz w:val="16"/>
              </w:rPr>
            </w:pPr>
          </w:p>
        </w:tc>
        <w:tc>
          <w:tcPr>
            <w:tcW w:w="1276" w:type="dxa"/>
          </w:tcPr>
          <w:p w:rsidR="00774DD5" w:rsidRDefault="00774DD5" w:rsidP="00891971">
            <w:pPr>
              <w:pStyle w:val="TableParagraph"/>
              <w:spacing w:before="0" w:line="240" w:lineRule="auto"/>
              <w:jc w:val="right"/>
              <w:rPr>
                <w:b/>
                <w:sz w:val="18"/>
              </w:rPr>
            </w:pPr>
            <w:r>
              <w:rPr>
                <w:b/>
                <w:color w:val="231F20"/>
                <w:sz w:val="18"/>
              </w:rPr>
              <w:t>1.533.547,50</w:t>
            </w:r>
          </w:p>
        </w:tc>
      </w:tr>
    </w:tbl>
    <w:p w:rsidR="00774DD5" w:rsidRDefault="00774DD5" w:rsidP="00891971">
      <w:pPr>
        <w:rPr>
          <w:sz w:val="16"/>
        </w:rPr>
      </w:pPr>
      <w:r>
        <w:rPr>
          <w:b/>
          <w:color w:val="231F20"/>
          <w:sz w:val="16"/>
        </w:rPr>
        <w:t xml:space="preserve">Fonte: </w:t>
      </w:r>
      <w:r>
        <w:rPr>
          <w:color w:val="231F20"/>
          <w:sz w:val="16"/>
        </w:rPr>
        <w:t>Dados da pesquisa</w:t>
      </w:r>
    </w:p>
    <w:p w:rsidR="009D70AE" w:rsidRDefault="009D70AE" w:rsidP="00891971">
      <w:pPr>
        <w:pStyle w:val="Corpodetexto"/>
        <w:jc w:val="both"/>
      </w:pPr>
    </w:p>
    <w:p w:rsidR="00774DD5" w:rsidRDefault="00774DD5" w:rsidP="00891971">
      <w:pPr>
        <w:pStyle w:val="Corpodetexto"/>
        <w:jc w:val="both"/>
      </w:pPr>
      <w:r>
        <w:rPr>
          <w:color w:val="231F20"/>
        </w:rPr>
        <w:t xml:space="preserve">No caso do lucro presumido, apenas o ICMS é </w:t>
      </w:r>
      <w:r>
        <w:rPr>
          <w:color w:val="231F20"/>
          <w:spacing w:val="-4"/>
        </w:rPr>
        <w:t xml:space="preserve">não </w:t>
      </w:r>
      <w:r>
        <w:rPr>
          <w:color w:val="231F20"/>
        </w:rPr>
        <w:t xml:space="preserve">cumulativo com o qual ocorre a compensação entre </w:t>
      </w:r>
      <w:r>
        <w:rPr>
          <w:color w:val="231F20"/>
          <w:spacing w:val="-7"/>
        </w:rPr>
        <w:t xml:space="preserve">os </w:t>
      </w:r>
      <w:r>
        <w:rPr>
          <w:color w:val="231F20"/>
        </w:rPr>
        <w:t>impostos de entrada e de saída do imposto estadual. Os impostos</w:t>
      </w:r>
      <w:r>
        <w:rPr>
          <w:color w:val="231F20"/>
          <w:spacing w:val="-8"/>
        </w:rPr>
        <w:t xml:space="preserve"> </w:t>
      </w:r>
      <w:r>
        <w:rPr>
          <w:color w:val="231F20"/>
        </w:rPr>
        <w:t>federais</w:t>
      </w:r>
      <w:r>
        <w:rPr>
          <w:color w:val="231F20"/>
          <w:spacing w:val="-7"/>
        </w:rPr>
        <w:t xml:space="preserve"> </w:t>
      </w:r>
      <w:r>
        <w:rPr>
          <w:color w:val="231F20"/>
        </w:rPr>
        <w:t>(PIS</w:t>
      </w:r>
      <w:r>
        <w:rPr>
          <w:color w:val="231F20"/>
          <w:spacing w:val="-7"/>
        </w:rPr>
        <w:t xml:space="preserve"> </w:t>
      </w:r>
      <w:r>
        <w:rPr>
          <w:color w:val="231F20"/>
        </w:rPr>
        <w:t>e</w:t>
      </w:r>
      <w:r>
        <w:rPr>
          <w:color w:val="231F20"/>
          <w:spacing w:val="-7"/>
        </w:rPr>
        <w:t xml:space="preserve"> </w:t>
      </w:r>
      <w:r>
        <w:rPr>
          <w:color w:val="231F20"/>
        </w:rPr>
        <w:t>COFINS)</w:t>
      </w:r>
      <w:r>
        <w:rPr>
          <w:color w:val="231F20"/>
          <w:spacing w:val="-8"/>
        </w:rPr>
        <w:t xml:space="preserve"> </w:t>
      </w:r>
      <w:r>
        <w:rPr>
          <w:color w:val="231F20"/>
        </w:rPr>
        <w:t>são</w:t>
      </w:r>
      <w:r>
        <w:rPr>
          <w:color w:val="231F20"/>
          <w:spacing w:val="-7"/>
        </w:rPr>
        <w:t xml:space="preserve"> </w:t>
      </w:r>
      <w:r>
        <w:rPr>
          <w:color w:val="231F20"/>
        </w:rPr>
        <w:t>calculados</w:t>
      </w:r>
      <w:r>
        <w:rPr>
          <w:color w:val="231F20"/>
          <w:spacing w:val="-7"/>
        </w:rPr>
        <w:t xml:space="preserve"> </w:t>
      </w:r>
      <w:r>
        <w:rPr>
          <w:color w:val="231F20"/>
        </w:rPr>
        <w:t>apenas</w:t>
      </w:r>
      <w:r>
        <w:rPr>
          <w:color w:val="231F20"/>
          <w:spacing w:val="-7"/>
        </w:rPr>
        <w:t xml:space="preserve"> </w:t>
      </w:r>
      <w:r>
        <w:rPr>
          <w:color w:val="231F20"/>
        </w:rPr>
        <w:t>com base no faturamento.</w:t>
      </w:r>
    </w:p>
    <w:p w:rsidR="009D70AE" w:rsidRDefault="009D70AE" w:rsidP="00891971">
      <w:pPr>
        <w:pStyle w:val="Corpodetexto"/>
        <w:rPr>
          <w:color w:val="231F20"/>
        </w:rPr>
      </w:pPr>
    </w:p>
    <w:p w:rsidR="00774DD5" w:rsidRDefault="00774DD5" w:rsidP="00891971">
      <w:pPr>
        <w:pStyle w:val="Corpodetexto"/>
        <w:jc w:val="both"/>
        <w:rPr>
          <w:color w:val="231F20"/>
        </w:rPr>
      </w:pPr>
      <w:r>
        <w:rPr>
          <w:color w:val="231F20"/>
        </w:rPr>
        <w:t>O</w:t>
      </w:r>
      <w:r>
        <w:rPr>
          <w:color w:val="231F20"/>
          <w:spacing w:val="18"/>
        </w:rPr>
        <w:t xml:space="preserve"> </w:t>
      </w:r>
      <w:r>
        <w:rPr>
          <w:color w:val="231F20"/>
        </w:rPr>
        <w:t>Quadro</w:t>
      </w:r>
      <w:r>
        <w:rPr>
          <w:color w:val="231F20"/>
          <w:spacing w:val="18"/>
        </w:rPr>
        <w:t xml:space="preserve"> </w:t>
      </w:r>
      <w:r>
        <w:rPr>
          <w:color w:val="231F20"/>
        </w:rPr>
        <w:t>2,</w:t>
      </w:r>
      <w:r>
        <w:rPr>
          <w:color w:val="231F20"/>
          <w:spacing w:val="18"/>
        </w:rPr>
        <w:t xml:space="preserve"> </w:t>
      </w:r>
      <w:r>
        <w:rPr>
          <w:color w:val="231F20"/>
        </w:rPr>
        <w:t>por</w:t>
      </w:r>
      <w:r>
        <w:rPr>
          <w:color w:val="231F20"/>
          <w:spacing w:val="18"/>
        </w:rPr>
        <w:t xml:space="preserve"> </w:t>
      </w:r>
      <w:r>
        <w:rPr>
          <w:color w:val="231F20"/>
        </w:rPr>
        <w:t>sua</w:t>
      </w:r>
      <w:r>
        <w:rPr>
          <w:color w:val="231F20"/>
          <w:spacing w:val="19"/>
        </w:rPr>
        <w:t xml:space="preserve"> </w:t>
      </w:r>
      <w:r>
        <w:rPr>
          <w:color w:val="231F20"/>
        </w:rPr>
        <w:t>vez,</w:t>
      </w:r>
      <w:r>
        <w:rPr>
          <w:color w:val="231F20"/>
          <w:spacing w:val="18"/>
        </w:rPr>
        <w:t xml:space="preserve"> </w:t>
      </w:r>
      <w:r>
        <w:rPr>
          <w:color w:val="231F20"/>
        </w:rPr>
        <w:t>demonstra</w:t>
      </w:r>
      <w:r>
        <w:rPr>
          <w:color w:val="231F20"/>
          <w:spacing w:val="18"/>
        </w:rPr>
        <w:t xml:space="preserve"> </w:t>
      </w:r>
      <w:r>
        <w:rPr>
          <w:color w:val="231F20"/>
        </w:rPr>
        <w:t>o</w:t>
      </w:r>
      <w:r>
        <w:rPr>
          <w:color w:val="231F20"/>
          <w:spacing w:val="18"/>
        </w:rPr>
        <w:t xml:space="preserve"> </w:t>
      </w:r>
      <w:r>
        <w:rPr>
          <w:color w:val="231F20"/>
        </w:rPr>
        <w:t>resultado</w:t>
      </w:r>
      <w:r>
        <w:rPr>
          <w:color w:val="231F20"/>
          <w:spacing w:val="19"/>
        </w:rPr>
        <w:t xml:space="preserve"> </w:t>
      </w:r>
      <w:r>
        <w:rPr>
          <w:color w:val="231F20"/>
        </w:rPr>
        <w:t>líquido estimado para o caso da empresa optar pelo</w:t>
      </w:r>
      <w:r>
        <w:rPr>
          <w:color w:val="231F20"/>
          <w:spacing w:val="20"/>
        </w:rPr>
        <w:t xml:space="preserve"> </w:t>
      </w:r>
      <w:r>
        <w:rPr>
          <w:color w:val="231F20"/>
        </w:rPr>
        <w:t>regime</w:t>
      </w:r>
      <w:r>
        <w:rPr>
          <w:color w:val="231F20"/>
          <w:spacing w:val="3"/>
        </w:rPr>
        <w:t xml:space="preserve"> </w:t>
      </w:r>
      <w:r>
        <w:rPr>
          <w:color w:val="231F20"/>
        </w:rPr>
        <w:t>tributário do</w:t>
      </w:r>
      <w:r>
        <w:rPr>
          <w:color w:val="231F20"/>
          <w:spacing w:val="22"/>
        </w:rPr>
        <w:t xml:space="preserve"> </w:t>
      </w:r>
      <w:r>
        <w:rPr>
          <w:color w:val="231F20"/>
        </w:rPr>
        <w:t>lucro</w:t>
      </w:r>
      <w:r>
        <w:rPr>
          <w:color w:val="231F20"/>
          <w:spacing w:val="22"/>
        </w:rPr>
        <w:t xml:space="preserve"> </w:t>
      </w:r>
      <w:r>
        <w:rPr>
          <w:color w:val="231F20"/>
        </w:rPr>
        <w:t>presumido.</w:t>
      </w:r>
      <w:r>
        <w:rPr>
          <w:color w:val="231F20"/>
          <w:spacing w:val="22"/>
        </w:rPr>
        <w:t xml:space="preserve"> </w:t>
      </w:r>
      <w:r>
        <w:rPr>
          <w:color w:val="231F20"/>
        </w:rPr>
        <w:t>Pode-se</w:t>
      </w:r>
      <w:r>
        <w:rPr>
          <w:color w:val="231F20"/>
          <w:spacing w:val="23"/>
        </w:rPr>
        <w:t xml:space="preserve"> </w:t>
      </w:r>
      <w:r>
        <w:rPr>
          <w:color w:val="231F20"/>
        </w:rPr>
        <w:t>observar</w:t>
      </w:r>
      <w:r>
        <w:rPr>
          <w:color w:val="231F20"/>
          <w:spacing w:val="22"/>
        </w:rPr>
        <w:t xml:space="preserve"> </w:t>
      </w:r>
      <w:r>
        <w:rPr>
          <w:color w:val="231F20"/>
        </w:rPr>
        <w:t>que</w:t>
      </w:r>
      <w:r>
        <w:rPr>
          <w:color w:val="231F20"/>
          <w:spacing w:val="22"/>
        </w:rPr>
        <w:t xml:space="preserve"> </w:t>
      </w:r>
      <w:r>
        <w:rPr>
          <w:color w:val="231F20"/>
        </w:rPr>
        <w:t>o</w:t>
      </w:r>
      <w:r>
        <w:rPr>
          <w:color w:val="231F20"/>
          <w:spacing w:val="22"/>
        </w:rPr>
        <w:t xml:space="preserve"> </w:t>
      </w:r>
      <w:r>
        <w:rPr>
          <w:color w:val="231F20"/>
        </w:rPr>
        <w:t>lucro</w:t>
      </w:r>
      <w:r>
        <w:rPr>
          <w:color w:val="231F20"/>
          <w:spacing w:val="23"/>
        </w:rPr>
        <w:t xml:space="preserve"> </w:t>
      </w:r>
      <w:r>
        <w:rPr>
          <w:color w:val="231F20"/>
        </w:rPr>
        <w:t>real apresenta uma carga tributária R$</w:t>
      </w:r>
      <w:r w:rsidR="00A80DE0">
        <w:rPr>
          <w:color w:val="231F20"/>
        </w:rPr>
        <w:t xml:space="preserve"> 0,00</w:t>
      </w:r>
      <w:r>
        <w:rPr>
          <w:color w:val="231F20"/>
          <w:spacing w:val="41"/>
        </w:rPr>
        <w:t xml:space="preserve"> </w:t>
      </w:r>
      <w:r>
        <w:rPr>
          <w:color w:val="231F20"/>
        </w:rPr>
        <w:t>(reais)</w:t>
      </w:r>
      <w:r>
        <w:rPr>
          <w:color w:val="231F20"/>
          <w:spacing w:val="8"/>
        </w:rPr>
        <w:t xml:space="preserve"> </w:t>
      </w:r>
      <w:r>
        <w:rPr>
          <w:color w:val="231F20"/>
        </w:rPr>
        <w:t>maior que</w:t>
      </w:r>
      <w:r>
        <w:rPr>
          <w:color w:val="231F20"/>
          <w:spacing w:val="28"/>
        </w:rPr>
        <w:t xml:space="preserve"> </w:t>
      </w:r>
      <w:r>
        <w:rPr>
          <w:color w:val="231F20"/>
        </w:rPr>
        <w:t>o</w:t>
      </w:r>
      <w:r>
        <w:rPr>
          <w:color w:val="231F20"/>
          <w:spacing w:val="29"/>
        </w:rPr>
        <w:t xml:space="preserve"> </w:t>
      </w:r>
      <w:r>
        <w:rPr>
          <w:color w:val="231F20"/>
        </w:rPr>
        <w:t>lucro</w:t>
      </w:r>
      <w:r>
        <w:rPr>
          <w:color w:val="231F20"/>
          <w:spacing w:val="29"/>
        </w:rPr>
        <w:t xml:space="preserve"> </w:t>
      </w:r>
      <w:r>
        <w:rPr>
          <w:color w:val="231F20"/>
        </w:rPr>
        <w:t>presumido.</w:t>
      </w:r>
      <w:r>
        <w:rPr>
          <w:color w:val="231F20"/>
          <w:spacing w:val="29"/>
        </w:rPr>
        <w:t xml:space="preserve"> </w:t>
      </w:r>
      <w:r>
        <w:rPr>
          <w:color w:val="231F20"/>
        </w:rPr>
        <w:t>Consequentemente,</w:t>
      </w:r>
      <w:r>
        <w:rPr>
          <w:color w:val="231F20"/>
          <w:spacing w:val="29"/>
        </w:rPr>
        <w:t xml:space="preserve"> </w:t>
      </w:r>
      <w:r>
        <w:rPr>
          <w:color w:val="231F20"/>
        </w:rPr>
        <w:t>o</w:t>
      </w:r>
      <w:r>
        <w:rPr>
          <w:color w:val="231F20"/>
          <w:spacing w:val="29"/>
        </w:rPr>
        <w:t xml:space="preserve"> </w:t>
      </w:r>
      <w:r>
        <w:rPr>
          <w:color w:val="231F20"/>
        </w:rPr>
        <w:t>lucro</w:t>
      </w:r>
      <w:r>
        <w:rPr>
          <w:color w:val="231F20"/>
          <w:spacing w:val="29"/>
        </w:rPr>
        <w:t xml:space="preserve"> </w:t>
      </w:r>
      <w:r>
        <w:rPr>
          <w:color w:val="231F20"/>
        </w:rPr>
        <w:lastRenderedPageBreak/>
        <w:t>líquido neste</w:t>
      </w:r>
      <w:r>
        <w:rPr>
          <w:color w:val="231F20"/>
          <w:spacing w:val="-8"/>
        </w:rPr>
        <w:t xml:space="preserve"> </w:t>
      </w:r>
      <w:r>
        <w:rPr>
          <w:color w:val="231F20"/>
        </w:rPr>
        <w:t>regime</w:t>
      </w:r>
      <w:r>
        <w:rPr>
          <w:color w:val="231F20"/>
          <w:spacing w:val="-8"/>
        </w:rPr>
        <w:t xml:space="preserve"> </w:t>
      </w:r>
      <w:r>
        <w:rPr>
          <w:color w:val="231F20"/>
        </w:rPr>
        <w:t>foi</w:t>
      </w:r>
      <w:r>
        <w:rPr>
          <w:color w:val="231F20"/>
          <w:spacing w:val="-8"/>
        </w:rPr>
        <w:t xml:space="preserve"> </w:t>
      </w:r>
      <w:r>
        <w:rPr>
          <w:color w:val="231F20"/>
        </w:rPr>
        <w:t>maior</w:t>
      </w:r>
      <w:r>
        <w:rPr>
          <w:color w:val="231F20"/>
          <w:spacing w:val="-8"/>
        </w:rPr>
        <w:t xml:space="preserve"> </w:t>
      </w:r>
      <w:r>
        <w:rPr>
          <w:color w:val="231F20"/>
        </w:rPr>
        <w:t>que</w:t>
      </w:r>
      <w:r>
        <w:rPr>
          <w:color w:val="231F20"/>
          <w:spacing w:val="-8"/>
        </w:rPr>
        <w:t xml:space="preserve"> </w:t>
      </w:r>
      <w:r>
        <w:rPr>
          <w:color w:val="231F20"/>
        </w:rPr>
        <w:t>o</w:t>
      </w:r>
      <w:r>
        <w:rPr>
          <w:color w:val="231F20"/>
          <w:spacing w:val="-8"/>
        </w:rPr>
        <w:t xml:space="preserve"> </w:t>
      </w:r>
      <w:r>
        <w:rPr>
          <w:color w:val="231F20"/>
        </w:rPr>
        <w:t>lucro</w:t>
      </w:r>
      <w:r>
        <w:rPr>
          <w:color w:val="231F20"/>
          <w:spacing w:val="-8"/>
        </w:rPr>
        <w:t xml:space="preserve"> </w:t>
      </w:r>
      <w:r>
        <w:rPr>
          <w:color w:val="231F20"/>
        </w:rPr>
        <w:t>alcançado</w:t>
      </w:r>
      <w:r>
        <w:rPr>
          <w:color w:val="231F20"/>
          <w:spacing w:val="-8"/>
        </w:rPr>
        <w:t xml:space="preserve"> </w:t>
      </w:r>
      <w:r>
        <w:rPr>
          <w:color w:val="231F20"/>
        </w:rPr>
        <w:t>com</w:t>
      </w:r>
      <w:r>
        <w:rPr>
          <w:color w:val="231F20"/>
          <w:spacing w:val="-8"/>
        </w:rPr>
        <w:t xml:space="preserve"> </w:t>
      </w:r>
      <w:r>
        <w:rPr>
          <w:color w:val="231F20"/>
        </w:rPr>
        <w:t>o</w:t>
      </w:r>
      <w:r>
        <w:rPr>
          <w:color w:val="231F20"/>
          <w:spacing w:val="-8"/>
        </w:rPr>
        <w:t xml:space="preserve"> </w:t>
      </w:r>
      <w:r>
        <w:rPr>
          <w:color w:val="231F20"/>
        </w:rPr>
        <w:t>lucro</w:t>
      </w:r>
      <w:r>
        <w:rPr>
          <w:color w:val="231F20"/>
          <w:spacing w:val="-8"/>
        </w:rPr>
        <w:t xml:space="preserve"> </w:t>
      </w:r>
      <w:r>
        <w:rPr>
          <w:color w:val="231F20"/>
        </w:rPr>
        <w:t>real.</w:t>
      </w:r>
    </w:p>
    <w:p w:rsidR="009D70AE" w:rsidRDefault="009D70AE" w:rsidP="00891971">
      <w:pPr>
        <w:pStyle w:val="Corpodetexto"/>
        <w:jc w:val="both"/>
      </w:pPr>
    </w:p>
    <w:p w:rsidR="00774DD5" w:rsidRDefault="00774DD5" w:rsidP="00891971">
      <w:pPr>
        <w:pStyle w:val="Corpodetexto"/>
        <w:jc w:val="both"/>
        <w:rPr>
          <w:color w:val="231F20"/>
        </w:rPr>
      </w:pPr>
      <w:r>
        <w:rPr>
          <w:color w:val="231F20"/>
          <w:sz w:val="20"/>
        </w:rPr>
        <w:t>Embora</w:t>
      </w:r>
      <w:r w:rsidR="009D70AE">
        <w:rPr>
          <w:color w:val="231F20"/>
          <w:sz w:val="20"/>
        </w:rPr>
        <w:t xml:space="preserve"> </w:t>
      </w:r>
      <w:r>
        <w:rPr>
          <w:color w:val="231F20"/>
          <w:sz w:val="20"/>
        </w:rPr>
        <w:t xml:space="preserve">o lucro presumido tenha se demonstrado a melhor opção neste estudo </w:t>
      </w:r>
      <w:r w:rsidR="00A80DE0">
        <w:rPr>
          <w:color w:val="231F20"/>
          <w:sz w:val="20"/>
        </w:rPr>
        <w:t>comparative, o</w:t>
      </w:r>
      <w:r>
        <w:rPr>
          <w:color w:val="231F20"/>
          <w:sz w:val="20"/>
        </w:rPr>
        <w:t xml:space="preserve"> lucro presumido não conta com a possibilidade da compensação de prejuízos fiscais. Para a atividade rural, por outro lado, o</w:t>
      </w:r>
      <w:r>
        <w:rPr>
          <w:color w:val="231F20"/>
          <w:spacing w:val="-9"/>
          <w:sz w:val="20"/>
        </w:rPr>
        <w:t xml:space="preserve"> </w:t>
      </w:r>
      <w:r>
        <w:rPr>
          <w:color w:val="231F20"/>
        </w:rPr>
        <w:t>lucro</w:t>
      </w:r>
      <w:r>
        <w:rPr>
          <w:color w:val="231F20"/>
          <w:spacing w:val="-8"/>
        </w:rPr>
        <w:t xml:space="preserve"> </w:t>
      </w:r>
      <w:r>
        <w:rPr>
          <w:color w:val="231F20"/>
        </w:rPr>
        <w:t>real</w:t>
      </w:r>
      <w:r>
        <w:rPr>
          <w:color w:val="231F20"/>
          <w:spacing w:val="-9"/>
        </w:rPr>
        <w:t xml:space="preserve"> </w:t>
      </w:r>
      <w:r>
        <w:rPr>
          <w:color w:val="231F20"/>
        </w:rPr>
        <w:t>não</w:t>
      </w:r>
      <w:r>
        <w:rPr>
          <w:color w:val="231F20"/>
          <w:spacing w:val="-8"/>
        </w:rPr>
        <w:t xml:space="preserve"> </w:t>
      </w:r>
      <w:r>
        <w:rPr>
          <w:color w:val="231F20"/>
        </w:rPr>
        <w:t>está</w:t>
      </w:r>
      <w:r>
        <w:rPr>
          <w:color w:val="231F20"/>
          <w:spacing w:val="-9"/>
        </w:rPr>
        <w:t xml:space="preserve"> </w:t>
      </w:r>
      <w:r>
        <w:rPr>
          <w:color w:val="231F20"/>
        </w:rPr>
        <w:t>sujeito</w:t>
      </w:r>
      <w:r>
        <w:rPr>
          <w:color w:val="231F20"/>
          <w:spacing w:val="-8"/>
        </w:rPr>
        <w:t xml:space="preserve"> </w:t>
      </w:r>
      <w:r>
        <w:rPr>
          <w:color w:val="231F20"/>
        </w:rPr>
        <w:t>ao</w:t>
      </w:r>
      <w:r>
        <w:rPr>
          <w:color w:val="231F20"/>
          <w:spacing w:val="-9"/>
        </w:rPr>
        <w:t xml:space="preserve"> </w:t>
      </w:r>
      <w:r>
        <w:rPr>
          <w:color w:val="231F20"/>
        </w:rPr>
        <w:t>limite</w:t>
      </w:r>
      <w:r>
        <w:rPr>
          <w:color w:val="231F20"/>
          <w:spacing w:val="-8"/>
        </w:rPr>
        <w:t xml:space="preserve"> </w:t>
      </w:r>
      <w:r>
        <w:rPr>
          <w:color w:val="231F20"/>
        </w:rPr>
        <w:t>de</w:t>
      </w:r>
      <w:r>
        <w:rPr>
          <w:color w:val="231F20"/>
          <w:spacing w:val="-9"/>
        </w:rPr>
        <w:t xml:space="preserve"> </w:t>
      </w:r>
      <w:r>
        <w:rPr>
          <w:color w:val="231F20"/>
        </w:rPr>
        <w:t>30%</w:t>
      </w:r>
      <w:r>
        <w:rPr>
          <w:color w:val="231F20"/>
          <w:spacing w:val="-8"/>
        </w:rPr>
        <w:t xml:space="preserve"> </w:t>
      </w:r>
      <w:r>
        <w:rPr>
          <w:color w:val="231F20"/>
        </w:rPr>
        <w:t>(trinta</w:t>
      </w:r>
      <w:r>
        <w:rPr>
          <w:color w:val="231F20"/>
          <w:spacing w:val="-9"/>
        </w:rPr>
        <w:t xml:space="preserve"> </w:t>
      </w:r>
      <w:r>
        <w:rPr>
          <w:color w:val="231F20"/>
        </w:rPr>
        <w:t>por</w:t>
      </w:r>
      <w:r>
        <w:rPr>
          <w:color w:val="231F20"/>
          <w:spacing w:val="-8"/>
        </w:rPr>
        <w:t xml:space="preserve"> </w:t>
      </w:r>
      <w:r>
        <w:rPr>
          <w:color w:val="231F20"/>
        </w:rPr>
        <w:t>cento) supracitado,</w:t>
      </w:r>
      <w:r>
        <w:rPr>
          <w:color w:val="231F20"/>
          <w:spacing w:val="-7"/>
        </w:rPr>
        <w:t xml:space="preserve"> </w:t>
      </w:r>
      <w:r>
        <w:rPr>
          <w:color w:val="231F20"/>
        </w:rPr>
        <w:t>ou</w:t>
      </w:r>
      <w:r>
        <w:rPr>
          <w:color w:val="231F20"/>
          <w:spacing w:val="-6"/>
        </w:rPr>
        <w:t xml:space="preserve"> </w:t>
      </w:r>
      <w:r>
        <w:rPr>
          <w:color w:val="231F20"/>
        </w:rPr>
        <w:t>seja,</w:t>
      </w:r>
      <w:r>
        <w:rPr>
          <w:color w:val="231F20"/>
          <w:spacing w:val="-6"/>
        </w:rPr>
        <w:t xml:space="preserve"> </w:t>
      </w:r>
      <w:r>
        <w:rPr>
          <w:color w:val="231F20"/>
        </w:rPr>
        <w:t>pode</w:t>
      </w:r>
      <w:r>
        <w:rPr>
          <w:color w:val="231F20"/>
          <w:spacing w:val="-6"/>
        </w:rPr>
        <w:t xml:space="preserve"> </w:t>
      </w:r>
      <w:r>
        <w:rPr>
          <w:color w:val="231F20"/>
        </w:rPr>
        <w:t>ser</w:t>
      </w:r>
      <w:r>
        <w:rPr>
          <w:color w:val="231F20"/>
          <w:spacing w:val="-7"/>
        </w:rPr>
        <w:t xml:space="preserve"> </w:t>
      </w:r>
      <w:r>
        <w:rPr>
          <w:color w:val="231F20"/>
        </w:rPr>
        <w:t>integralmente</w:t>
      </w:r>
      <w:r>
        <w:rPr>
          <w:color w:val="231F20"/>
          <w:spacing w:val="-6"/>
        </w:rPr>
        <w:t xml:space="preserve"> </w:t>
      </w:r>
      <w:r>
        <w:rPr>
          <w:color w:val="231F20"/>
        </w:rPr>
        <w:t>compensado</w:t>
      </w:r>
      <w:r>
        <w:rPr>
          <w:color w:val="231F20"/>
          <w:spacing w:val="-6"/>
        </w:rPr>
        <w:t xml:space="preserve"> </w:t>
      </w:r>
      <w:r>
        <w:rPr>
          <w:color w:val="231F20"/>
        </w:rPr>
        <w:t xml:space="preserve">com o  resultado  dessa  mesma  atividade,  apurado em </w:t>
      </w:r>
      <w:r>
        <w:rPr>
          <w:color w:val="231F20"/>
          <w:spacing w:val="12"/>
        </w:rPr>
        <w:t xml:space="preserve"> </w:t>
      </w:r>
      <w:r>
        <w:rPr>
          <w:color w:val="231F20"/>
        </w:rPr>
        <w:t xml:space="preserve">períodos de apuração subsequentes, observando-se que o lucro seja o apurado no Livro de Apuração do Lucro Real (LALUR), conforme artigo 512 do RIR/99, hoje substituído pelo </w:t>
      </w:r>
      <w:r>
        <w:rPr>
          <w:color w:val="231F20"/>
          <w:spacing w:val="-4"/>
        </w:rPr>
        <w:t>e-</w:t>
      </w:r>
      <w:r>
        <w:rPr>
          <w:i/>
          <w:color w:val="231F20"/>
          <w:spacing w:val="-4"/>
          <w:sz w:val="20"/>
        </w:rPr>
        <w:t xml:space="preserve">Lalur, </w:t>
      </w:r>
      <w:r>
        <w:rPr>
          <w:i/>
          <w:color w:val="231F20"/>
          <w:sz w:val="20"/>
        </w:rPr>
        <w:t xml:space="preserve">versão eletrônica do livro, </w:t>
      </w:r>
      <w:r>
        <w:rPr>
          <w:color w:val="231F20"/>
        </w:rPr>
        <w:t>instituído pela Instrução Normativa RFB</w:t>
      </w:r>
      <w:r>
        <w:rPr>
          <w:color w:val="231F20"/>
          <w:spacing w:val="-2"/>
        </w:rPr>
        <w:t xml:space="preserve"> </w:t>
      </w:r>
      <w:r>
        <w:rPr>
          <w:color w:val="231F20"/>
        </w:rPr>
        <w:t>989/2009.</w:t>
      </w:r>
    </w:p>
    <w:p w:rsidR="00A80DE0" w:rsidRDefault="00A80DE0" w:rsidP="00891971">
      <w:pPr>
        <w:pStyle w:val="Corpodetexto"/>
        <w:jc w:val="both"/>
      </w:pPr>
    </w:p>
    <w:p w:rsidR="00774DD5" w:rsidRDefault="00774DD5" w:rsidP="00891971">
      <w:pPr>
        <w:pStyle w:val="Ttulo2"/>
        <w:numPr>
          <w:ilvl w:val="2"/>
          <w:numId w:val="2"/>
        </w:numPr>
        <w:tabs>
          <w:tab w:val="left" w:pos="509"/>
        </w:tabs>
        <w:spacing w:before="0"/>
        <w:ind w:left="0" w:firstLine="0"/>
        <w:jc w:val="both"/>
      </w:pPr>
      <w:r>
        <w:rPr>
          <w:color w:val="231F20"/>
        </w:rPr>
        <w:t>Comparação</w:t>
      </w:r>
      <w:r>
        <w:rPr>
          <w:color w:val="231F20"/>
          <w:spacing w:val="-23"/>
        </w:rPr>
        <w:t xml:space="preserve"> </w:t>
      </w:r>
      <w:r>
        <w:rPr>
          <w:color w:val="231F20"/>
        </w:rPr>
        <w:t>entre</w:t>
      </w:r>
      <w:r>
        <w:rPr>
          <w:color w:val="231F20"/>
          <w:spacing w:val="-22"/>
        </w:rPr>
        <w:t xml:space="preserve"> </w:t>
      </w:r>
      <w:r>
        <w:rPr>
          <w:color w:val="231F20"/>
        </w:rPr>
        <w:t>a</w:t>
      </w:r>
      <w:r>
        <w:rPr>
          <w:color w:val="231F20"/>
          <w:spacing w:val="-22"/>
        </w:rPr>
        <w:t xml:space="preserve"> </w:t>
      </w:r>
      <w:r>
        <w:rPr>
          <w:color w:val="231F20"/>
        </w:rPr>
        <w:t>Holding</w:t>
      </w:r>
      <w:r>
        <w:rPr>
          <w:color w:val="231F20"/>
          <w:spacing w:val="-22"/>
        </w:rPr>
        <w:t xml:space="preserve"> </w:t>
      </w:r>
      <w:r>
        <w:rPr>
          <w:color w:val="231F20"/>
        </w:rPr>
        <w:t>Familiar</w:t>
      </w:r>
      <w:r>
        <w:rPr>
          <w:color w:val="231F20"/>
          <w:spacing w:val="-25"/>
        </w:rPr>
        <w:t xml:space="preserve"> </w:t>
      </w:r>
      <w:r>
        <w:rPr>
          <w:color w:val="231F20"/>
        </w:rPr>
        <w:t>e</w:t>
      </w:r>
      <w:r>
        <w:rPr>
          <w:color w:val="231F20"/>
          <w:spacing w:val="-22"/>
        </w:rPr>
        <w:t xml:space="preserve"> </w:t>
      </w:r>
      <w:r>
        <w:rPr>
          <w:color w:val="231F20"/>
        </w:rPr>
        <w:t>a</w:t>
      </w:r>
      <w:r>
        <w:rPr>
          <w:color w:val="231F20"/>
          <w:spacing w:val="-23"/>
        </w:rPr>
        <w:t xml:space="preserve"> </w:t>
      </w:r>
      <w:r>
        <w:rPr>
          <w:color w:val="231F20"/>
        </w:rPr>
        <w:t>Instauração de um</w:t>
      </w:r>
      <w:r>
        <w:rPr>
          <w:color w:val="231F20"/>
          <w:spacing w:val="-3"/>
        </w:rPr>
        <w:t xml:space="preserve"> </w:t>
      </w:r>
      <w:r>
        <w:rPr>
          <w:color w:val="231F20"/>
        </w:rPr>
        <w:t>Inventário</w:t>
      </w:r>
    </w:p>
    <w:p w:rsidR="00774DD5" w:rsidRDefault="00774DD5" w:rsidP="00891971">
      <w:pPr>
        <w:pStyle w:val="Corpodetexto"/>
        <w:jc w:val="both"/>
        <w:rPr>
          <w:color w:val="231F20"/>
        </w:rPr>
      </w:pPr>
      <w:r>
        <w:rPr>
          <w:color w:val="231F20"/>
        </w:rPr>
        <w:t>A constituição de uma holding familiar, como se pode observar, resolve a questão da administração da empresa antecipadamente ao evento da falta do patriarca, ou seja, a sucessão do patrimônio e da gestão da empresa já foram decididas em vida sob a tutela do empresário(a). A transição e o novo modelo de gestão podem ser testados de tal forma a permitir uma sucessão tranquila. Portanto, não há interrupção da gestão dos bens e negócios da família.</w:t>
      </w:r>
    </w:p>
    <w:p w:rsidR="009D70AE" w:rsidRDefault="009D70AE" w:rsidP="00891971">
      <w:pPr>
        <w:pStyle w:val="Corpodetexto"/>
        <w:ind w:firstLine="283"/>
        <w:jc w:val="both"/>
      </w:pPr>
    </w:p>
    <w:p w:rsidR="00774DD5" w:rsidRDefault="00774DD5" w:rsidP="00891971">
      <w:pPr>
        <w:pStyle w:val="Corpodetexto"/>
        <w:jc w:val="both"/>
      </w:pPr>
      <w:r>
        <w:rPr>
          <w:color w:val="231F20"/>
        </w:rPr>
        <w:t>No caso de um processo inventarial ou testamentário, a morte do administrador surpreende a família e a empresa, e sua gestão se tornará mais um assunto dentro do inventário. Caso os herdeiros não consigam uma solução consensual, o processo de partilha dos bens pode ser marcado por disputas, o que pode tornar o inventário litigioso, e prejudicar a administração da empresa. Mesmo após o encerramento da disputa pelos bens, ainda podem surgir disputas pelo controle da empresa.</w:t>
      </w:r>
    </w:p>
    <w:p w:rsidR="009D70AE" w:rsidRDefault="009D70AE" w:rsidP="00891971">
      <w:pPr>
        <w:pStyle w:val="Corpodetexto"/>
        <w:jc w:val="both"/>
        <w:rPr>
          <w:color w:val="231F20"/>
        </w:rPr>
      </w:pPr>
    </w:p>
    <w:p w:rsidR="00774DD5" w:rsidRDefault="00774DD5" w:rsidP="00891971">
      <w:pPr>
        <w:pStyle w:val="Corpodetexto"/>
        <w:jc w:val="both"/>
        <w:rPr>
          <w:color w:val="231F20"/>
        </w:rPr>
      </w:pPr>
      <w:r>
        <w:rPr>
          <w:color w:val="231F20"/>
        </w:rPr>
        <w:t xml:space="preserve">No caso de implementação da </w:t>
      </w:r>
      <w:r>
        <w:rPr>
          <w:i/>
          <w:color w:val="231F20"/>
        </w:rPr>
        <w:t>holding</w:t>
      </w:r>
      <w:r>
        <w:rPr>
          <w:color w:val="231F20"/>
        </w:rPr>
        <w:t xml:space="preserve">, no momento </w:t>
      </w:r>
      <w:r>
        <w:rPr>
          <w:color w:val="231F20"/>
          <w:spacing w:val="-4"/>
        </w:rPr>
        <w:t xml:space="preserve">que </w:t>
      </w:r>
      <w:r>
        <w:rPr>
          <w:color w:val="231F20"/>
        </w:rPr>
        <w:t>o patriarca venha a faltar, os bens já não estarão mais em seu nome,</w:t>
      </w:r>
      <w:r>
        <w:rPr>
          <w:color w:val="231F20"/>
          <w:spacing w:val="-7"/>
        </w:rPr>
        <w:t xml:space="preserve"> </w:t>
      </w:r>
      <w:r>
        <w:rPr>
          <w:color w:val="231F20"/>
        </w:rPr>
        <w:t>não</w:t>
      </w:r>
      <w:r>
        <w:rPr>
          <w:color w:val="231F20"/>
          <w:spacing w:val="-6"/>
        </w:rPr>
        <w:t xml:space="preserve"> </w:t>
      </w:r>
      <w:r>
        <w:rPr>
          <w:color w:val="231F20"/>
        </w:rPr>
        <w:t>havendo,</w:t>
      </w:r>
      <w:r>
        <w:rPr>
          <w:color w:val="231F20"/>
          <w:spacing w:val="-6"/>
        </w:rPr>
        <w:t xml:space="preserve"> </w:t>
      </w:r>
      <w:r>
        <w:rPr>
          <w:color w:val="231F20"/>
        </w:rPr>
        <w:t>portanto,</w:t>
      </w:r>
      <w:r>
        <w:rPr>
          <w:color w:val="231F20"/>
          <w:spacing w:val="-6"/>
        </w:rPr>
        <w:t xml:space="preserve"> </w:t>
      </w:r>
      <w:r>
        <w:rPr>
          <w:color w:val="231F20"/>
        </w:rPr>
        <w:t>bens</w:t>
      </w:r>
      <w:r>
        <w:rPr>
          <w:color w:val="231F20"/>
          <w:spacing w:val="-6"/>
        </w:rPr>
        <w:t xml:space="preserve"> </w:t>
      </w:r>
      <w:r>
        <w:rPr>
          <w:color w:val="231F20"/>
        </w:rPr>
        <w:t>a</w:t>
      </w:r>
      <w:r>
        <w:rPr>
          <w:color w:val="231F20"/>
          <w:spacing w:val="-6"/>
        </w:rPr>
        <w:t xml:space="preserve"> </w:t>
      </w:r>
      <w:r>
        <w:rPr>
          <w:color w:val="231F20"/>
        </w:rPr>
        <w:t>dividir.</w:t>
      </w:r>
      <w:r>
        <w:rPr>
          <w:color w:val="231F20"/>
          <w:spacing w:val="-6"/>
        </w:rPr>
        <w:t xml:space="preserve"> </w:t>
      </w:r>
      <w:r>
        <w:rPr>
          <w:color w:val="231F20"/>
        </w:rPr>
        <w:t>Caso</w:t>
      </w:r>
      <w:r>
        <w:rPr>
          <w:color w:val="231F20"/>
          <w:spacing w:val="-7"/>
        </w:rPr>
        <w:t xml:space="preserve"> </w:t>
      </w:r>
      <w:r>
        <w:rPr>
          <w:color w:val="231F20"/>
        </w:rPr>
        <w:t>contrário,</w:t>
      </w:r>
      <w:r>
        <w:rPr>
          <w:color w:val="231F20"/>
          <w:spacing w:val="-6"/>
        </w:rPr>
        <w:t xml:space="preserve"> </w:t>
      </w:r>
      <w:r>
        <w:rPr>
          <w:color w:val="231F20"/>
          <w:spacing w:val="-11"/>
        </w:rPr>
        <w:t xml:space="preserve">a </w:t>
      </w:r>
      <w:r>
        <w:rPr>
          <w:color w:val="231F20"/>
        </w:rPr>
        <w:t>família</w:t>
      </w:r>
      <w:r>
        <w:rPr>
          <w:color w:val="231F20"/>
          <w:spacing w:val="-19"/>
        </w:rPr>
        <w:t xml:space="preserve"> </w:t>
      </w:r>
      <w:r>
        <w:rPr>
          <w:color w:val="231F20"/>
        </w:rPr>
        <w:t>terá</w:t>
      </w:r>
      <w:r>
        <w:rPr>
          <w:color w:val="231F20"/>
          <w:spacing w:val="-19"/>
        </w:rPr>
        <w:t xml:space="preserve"> </w:t>
      </w:r>
      <w:r>
        <w:rPr>
          <w:color w:val="231F20"/>
        </w:rPr>
        <w:t>que</w:t>
      </w:r>
      <w:r>
        <w:rPr>
          <w:color w:val="231F20"/>
          <w:spacing w:val="-19"/>
        </w:rPr>
        <w:t xml:space="preserve"> </w:t>
      </w:r>
      <w:r>
        <w:rPr>
          <w:color w:val="231F20"/>
        </w:rPr>
        <w:t>arcar</w:t>
      </w:r>
      <w:r>
        <w:rPr>
          <w:color w:val="231F20"/>
          <w:spacing w:val="-19"/>
        </w:rPr>
        <w:t xml:space="preserve"> </w:t>
      </w:r>
      <w:r>
        <w:rPr>
          <w:color w:val="231F20"/>
        </w:rPr>
        <w:t>com</w:t>
      </w:r>
      <w:r>
        <w:rPr>
          <w:color w:val="231F20"/>
          <w:spacing w:val="-19"/>
        </w:rPr>
        <w:t xml:space="preserve"> </w:t>
      </w:r>
      <w:r>
        <w:rPr>
          <w:color w:val="231F20"/>
        </w:rPr>
        <w:t>as</w:t>
      </w:r>
      <w:r>
        <w:rPr>
          <w:color w:val="231F20"/>
          <w:spacing w:val="-19"/>
        </w:rPr>
        <w:t xml:space="preserve"> </w:t>
      </w:r>
      <w:r>
        <w:rPr>
          <w:color w:val="231F20"/>
        </w:rPr>
        <w:t>custas</w:t>
      </w:r>
      <w:r>
        <w:rPr>
          <w:color w:val="231F20"/>
          <w:spacing w:val="-19"/>
        </w:rPr>
        <w:t xml:space="preserve"> </w:t>
      </w:r>
      <w:r>
        <w:rPr>
          <w:color w:val="231F20"/>
        </w:rPr>
        <w:t>de</w:t>
      </w:r>
      <w:r>
        <w:rPr>
          <w:color w:val="231F20"/>
          <w:spacing w:val="-19"/>
        </w:rPr>
        <w:t xml:space="preserve"> </w:t>
      </w:r>
      <w:r>
        <w:rPr>
          <w:color w:val="231F20"/>
        </w:rPr>
        <w:t>partilha</w:t>
      </w:r>
      <w:r>
        <w:rPr>
          <w:color w:val="231F20"/>
          <w:spacing w:val="-18"/>
        </w:rPr>
        <w:t xml:space="preserve"> </w:t>
      </w:r>
      <w:r>
        <w:rPr>
          <w:color w:val="231F20"/>
        </w:rPr>
        <w:t>e</w:t>
      </w:r>
      <w:r>
        <w:rPr>
          <w:color w:val="231F20"/>
          <w:spacing w:val="-19"/>
        </w:rPr>
        <w:t xml:space="preserve"> </w:t>
      </w:r>
      <w:r>
        <w:rPr>
          <w:color w:val="231F20"/>
        </w:rPr>
        <w:t>de</w:t>
      </w:r>
      <w:r>
        <w:rPr>
          <w:color w:val="231F20"/>
          <w:spacing w:val="-19"/>
        </w:rPr>
        <w:t xml:space="preserve"> </w:t>
      </w:r>
      <w:r>
        <w:rPr>
          <w:color w:val="231F20"/>
        </w:rPr>
        <w:t xml:space="preserve">transmissão dos bens, o que envolve os honorários advocatícios (de 2% </w:t>
      </w:r>
      <w:r>
        <w:rPr>
          <w:color w:val="231F20"/>
          <w:spacing w:val="-15"/>
        </w:rPr>
        <w:t xml:space="preserve">a </w:t>
      </w:r>
      <w:r>
        <w:rPr>
          <w:color w:val="231F20"/>
        </w:rPr>
        <w:t>10% do patrimônio), o ITCMD (4% do patrimônio), as</w:t>
      </w:r>
      <w:r>
        <w:rPr>
          <w:color w:val="231F20"/>
          <w:spacing w:val="-30"/>
        </w:rPr>
        <w:t xml:space="preserve"> </w:t>
      </w:r>
      <w:r>
        <w:rPr>
          <w:color w:val="231F20"/>
        </w:rPr>
        <w:t>custas processuais, e os</w:t>
      </w:r>
      <w:r>
        <w:rPr>
          <w:color w:val="231F20"/>
          <w:spacing w:val="-12"/>
        </w:rPr>
        <w:t xml:space="preserve"> </w:t>
      </w:r>
      <w:r>
        <w:rPr>
          <w:color w:val="231F20"/>
        </w:rPr>
        <w:t>emolumentos</w:t>
      </w:r>
      <w:r>
        <w:rPr>
          <w:color w:val="231F20"/>
          <w:spacing w:val="-12"/>
        </w:rPr>
        <w:t xml:space="preserve"> </w:t>
      </w:r>
      <w:r>
        <w:rPr>
          <w:color w:val="231F20"/>
        </w:rPr>
        <w:t>cartoriais.</w:t>
      </w:r>
      <w:r>
        <w:rPr>
          <w:color w:val="231F20"/>
          <w:spacing w:val="-11"/>
        </w:rPr>
        <w:t xml:space="preserve"> </w:t>
      </w:r>
      <w:r>
        <w:rPr>
          <w:color w:val="231F20"/>
          <w:spacing w:val="-4"/>
        </w:rPr>
        <w:t xml:space="preserve">Como </w:t>
      </w:r>
      <w:r>
        <w:rPr>
          <w:color w:val="231F20"/>
        </w:rPr>
        <w:t>o não pagamento do ITCMD pode interromper o processo, pode ser que a família tenha que se desfazer de algum bem para cobrir as despesas da ação.</w:t>
      </w:r>
    </w:p>
    <w:p w:rsidR="001532B1" w:rsidRDefault="001532B1" w:rsidP="00891971">
      <w:pPr>
        <w:pStyle w:val="Corpodetexto"/>
        <w:jc w:val="both"/>
      </w:pPr>
    </w:p>
    <w:p w:rsidR="00774DD5" w:rsidRDefault="00774DD5" w:rsidP="00891971">
      <w:pPr>
        <w:pStyle w:val="Ttulo2"/>
        <w:numPr>
          <w:ilvl w:val="2"/>
          <w:numId w:val="2"/>
        </w:numPr>
        <w:tabs>
          <w:tab w:val="left" w:pos="618"/>
        </w:tabs>
        <w:spacing w:before="0"/>
        <w:ind w:left="0" w:firstLine="0"/>
        <w:jc w:val="left"/>
      </w:pPr>
      <w:r>
        <w:rPr>
          <w:color w:val="231F20"/>
        </w:rPr>
        <w:t>Benefícios do Planejamento Sucessó</w:t>
      </w:r>
      <w:r w:rsidR="00695DF7">
        <w:rPr>
          <w:color w:val="231F20"/>
        </w:rPr>
        <w:t>rio para a Perenidade da Empresa</w:t>
      </w:r>
    </w:p>
    <w:p w:rsidR="00774DD5" w:rsidRDefault="00774DD5" w:rsidP="00891971">
      <w:pPr>
        <w:pStyle w:val="Corpodetexto"/>
        <w:jc w:val="both"/>
      </w:pPr>
      <w:r>
        <w:rPr>
          <w:color w:val="231F20"/>
        </w:rPr>
        <w:t xml:space="preserve">A constituição de uma holding familiar traz </w:t>
      </w:r>
      <w:r>
        <w:rPr>
          <w:color w:val="231F20"/>
          <w:spacing w:val="-3"/>
        </w:rPr>
        <w:t xml:space="preserve">várias </w:t>
      </w:r>
      <w:r>
        <w:rPr>
          <w:color w:val="231F20"/>
        </w:rPr>
        <w:t>vantagens</w:t>
      </w:r>
      <w:r>
        <w:rPr>
          <w:color w:val="231F20"/>
          <w:spacing w:val="-4"/>
        </w:rPr>
        <w:t xml:space="preserve"> </w:t>
      </w:r>
      <w:r>
        <w:rPr>
          <w:color w:val="231F20"/>
        </w:rPr>
        <w:t>para</w:t>
      </w:r>
      <w:r>
        <w:rPr>
          <w:color w:val="231F20"/>
          <w:spacing w:val="-4"/>
        </w:rPr>
        <w:t xml:space="preserve"> </w:t>
      </w:r>
      <w:r>
        <w:rPr>
          <w:color w:val="231F20"/>
        </w:rPr>
        <w:t>seus</w:t>
      </w:r>
      <w:r>
        <w:rPr>
          <w:color w:val="231F20"/>
          <w:spacing w:val="-4"/>
        </w:rPr>
        <w:t xml:space="preserve"> </w:t>
      </w:r>
      <w:r>
        <w:rPr>
          <w:color w:val="231F20"/>
        </w:rPr>
        <w:t>sócios.</w:t>
      </w:r>
      <w:r>
        <w:rPr>
          <w:color w:val="231F20"/>
          <w:spacing w:val="-4"/>
        </w:rPr>
        <w:t xml:space="preserve"> </w:t>
      </w:r>
      <w:r>
        <w:rPr>
          <w:color w:val="231F20"/>
        </w:rPr>
        <w:t>O</w:t>
      </w:r>
      <w:r>
        <w:rPr>
          <w:color w:val="231F20"/>
          <w:spacing w:val="-4"/>
        </w:rPr>
        <w:t xml:space="preserve"> </w:t>
      </w:r>
      <w:r>
        <w:rPr>
          <w:color w:val="231F20"/>
        </w:rPr>
        <w:t>fato</w:t>
      </w:r>
      <w:r>
        <w:rPr>
          <w:color w:val="231F20"/>
          <w:spacing w:val="-4"/>
        </w:rPr>
        <w:t xml:space="preserve"> </w:t>
      </w:r>
      <w:r>
        <w:rPr>
          <w:color w:val="231F20"/>
        </w:rPr>
        <w:t>dos</w:t>
      </w:r>
      <w:r>
        <w:rPr>
          <w:color w:val="231F20"/>
          <w:spacing w:val="-4"/>
        </w:rPr>
        <w:t xml:space="preserve"> </w:t>
      </w:r>
      <w:r>
        <w:rPr>
          <w:color w:val="231F20"/>
        </w:rPr>
        <w:t>bens</w:t>
      </w:r>
      <w:r>
        <w:rPr>
          <w:color w:val="231F20"/>
          <w:spacing w:val="-3"/>
        </w:rPr>
        <w:t xml:space="preserve"> </w:t>
      </w:r>
      <w:r>
        <w:rPr>
          <w:color w:val="231F20"/>
        </w:rPr>
        <w:t>estarem</w:t>
      </w:r>
      <w:r>
        <w:rPr>
          <w:color w:val="231F20"/>
          <w:spacing w:val="-4"/>
        </w:rPr>
        <w:t xml:space="preserve"> </w:t>
      </w:r>
      <w:r>
        <w:rPr>
          <w:color w:val="231F20"/>
        </w:rPr>
        <w:t>em</w:t>
      </w:r>
      <w:r>
        <w:rPr>
          <w:color w:val="231F20"/>
          <w:spacing w:val="-4"/>
        </w:rPr>
        <w:t xml:space="preserve"> </w:t>
      </w:r>
      <w:r>
        <w:rPr>
          <w:color w:val="231F20"/>
        </w:rPr>
        <w:t>nome de uma pessoa jurídica tem maior controle operacional dos bens. Não são pessoas físicas, muitas vezes despreparadas, que deliberam sobre o sistema produtivo e o resultado advindo do investimento realizado na estrutura patrimonial por esse administrador, sendo gestores profissionais para a holding, dos quais, inclusive, pode participar um sócio que tenha formação e tenha se preparado para a função. Portanto, o processo de tomada de decisão passa por um crivo técnico de pessoas mais maduras para a gestão do patrimônio.</w:t>
      </w:r>
    </w:p>
    <w:p w:rsidR="009D70AE" w:rsidRDefault="009D70AE" w:rsidP="00891971">
      <w:pPr>
        <w:pStyle w:val="Corpodetexto"/>
        <w:jc w:val="both"/>
        <w:rPr>
          <w:color w:val="231F20"/>
        </w:rPr>
      </w:pPr>
    </w:p>
    <w:p w:rsidR="009D70AE" w:rsidRDefault="00774DD5" w:rsidP="00891971">
      <w:pPr>
        <w:pStyle w:val="Corpodetexto"/>
        <w:jc w:val="both"/>
        <w:rPr>
          <w:color w:val="231F20"/>
        </w:rPr>
      </w:pPr>
      <w:r>
        <w:rPr>
          <w:color w:val="231F20"/>
        </w:rPr>
        <w:t>A</w:t>
      </w:r>
      <w:r>
        <w:rPr>
          <w:color w:val="231F20"/>
          <w:spacing w:val="-24"/>
        </w:rPr>
        <w:t xml:space="preserve"> </w:t>
      </w:r>
      <w:r>
        <w:rPr>
          <w:color w:val="231F20"/>
        </w:rPr>
        <w:t>ideia</w:t>
      </w:r>
      <w:r>
        <w:rPr>
          <w:color w:val="231F20"/>
          <w:spacing w:val="-12"/>
        </w:rPr>
        <w:t xml:space="preserve"> </w:t>
      </w:r>
      <w:r>
        <w:rPr>
          <w:color w:val="231F20"/>
        </w:rPr>
        <w:t>é</w:t>
      </w:r>
      <w:r>
        <w:rPr>
          <w:color w:val="231F20"/>
          <w:spacing w:val="-12"/>
        </w:rPr>
        <w:t xml:space="preserve"> </w:t>
      </w:r>
      <w:r>
        <w:rPr>
          <w:color w:val="231F20"/>
        </w:rPr>
        <w:t>que</w:t>
      </w:r>
      <w:r>
        <w:rPr>
          <w:color w:val="231F20"/>
          <w:spacing w:val="-13"/>
        </w:rPr>
        <w:t xml:space="preserve"> </w:t>
      </w:r>
      <w:r>
        <w:rPr>
          <w:color w:val="231F20"/>
        </w:rPr>
        <w:t>a</w:t>
      </w:r>
      <w:r>
        <w:rPr>
          <w:color w:val="231F20"/>
          <w:spacing w:val="-12"/>
        </w:rPr>
        <w:t xml:space="preserve"> </w:t>
      </w:r>
      <w:r>
        <w:rPr>
          <w:color w:val="231F20"/>
        </w:rPr>
        <w:t>empresa</w:t>
      </w:r>
      <w:r>
        <w:rPr>
          <w:color w:val="231F20"/>
          <w:spacing w:val="-13"/>
        </w:rPr>
        <w:t xml:space="preserve"> </w:t>
      </w:r>
      <w:r>
        <w:rPr>
          <w:color w:val="231F20"/>
        </w:rPr>
        <w:t>seja</w:t>
      </w:r>
      <w:r>
        <w:rPr>
          <w:color w:val="231F20"/>
          <w:spacing w:val="-12"/>
        </w:rPr>
        <w:t xml:space="preserve"> </w:t>
      </w:r>
      <w:r>
        <w:rPr>
          <w:color w:val="231F20"/>
        </w:rPr>
        <w:t>administrada</w:t>
      </w:r>
      <w:r>
        <w:rPr>
          <w:color w:val="231F20"/>
          <w:spacing w:val="-13"/>
        </w:rPr>
        <w:t xml:space="preserve"> </w:t>
      </w:r>
      <w:r>
        <w:rPr>
          <w:color w:val="231F20"/>
        </w:rPr>
        <w:t>por</w:t>
      </w:r>
      <w:r>
        <w:rPr>
          <w:color w:val="231F20"/>
          <w:spacing w:val="-12"/>
        </w:rPr>
        <w:t xml:space="preserve"> </w:t>
      </w:r>
      <w:r>
        <w:rPr>
          <w:color w:val="231F20"/>
        </w:rPr>
        <w:t>profissionais que,</w:t>
      </w:r>
      <w:r>
        <w:rPr>
          <w:color w:val="231F20"/>
          <w:spacing w:val="-11"/>
        </w:rPr>
        <w:t xml:space="preserve"> </w:t>
      </w:r>
      <w:r>
        <w:rPr>
          <w:color w:val="231F20"/>
        </w:rPr>
        <w:t>realmente,</w:t>
      </w:r>
      <w:r>
        <w:rPr>
          <w:color w:val="231F20"/>
          <w:spacing w:val="-10"/>
        </w:rPr>
        <w:t xml:space="preserve"> </w:t>
      </w:r>
      <w:r>
        <w:rPr>
          <w:color w:val="231F20"/>
        </w:rPr>
        <w:t>tenham</w:t>
      </w:r>
      <w:r>
        <w:rPr>
          <w:color w:val="231F20"/>
          <w:spacing w:val="-10"/>
        </w:rPr>
        <w:t xml:space="preserve"> </w:t>
      </w:r>
      <w:r>
        <w:rPr>
          <w:color w:val="231F20"/>
        </w:rPr>
        <w:t>conhecimento,</w:t>
      </w:r>
      <w:r>
        <w:rPr>
          <w:color w:val="231F20"/>
          <w:spacing w:val="-11"/>
        </w:rPr>
        <w:t xml:space="preserve"> </w:t>
      </w:r>
      <w:r>
        <w:rPr>
          <w:color w:val="231F20"/>
        </w:rPr>
        <w:t>formação</w:t>
      </w:r>
      <w:r>
        <w:rPr>
          <w:color w:val="231F20"/>
          <w:spacing w:val="-10"/>
        </w:rPr>
        <w:t xml:space="preserve"> </w:t>
      </w:r>
      <w:r>
        <w:rPr>
          <w:color w:val="231F20"/>
        </w:rPr>
        <w:t>e</w:t>
      </w:r>
      <w:r>
        <w:rPr>
          <w:color w:val="231F20"/>
          <w:spacing w:val="-10"/>
        </w:rPr>
        <w:t xml:space="preserve"> </w:t>
      </w:r>
      <w:r>
        <w:rPr>
          <w:color w:val="231F20"/>
        </w:rPr>
        <w:t xml:space="preserve">maturidade para gerir o negócio. Ao se comparar  a  possibilidade  </w:t>
      </w:r>
      <w:r>
        <w:rPr>
          <w:color w:val="231F20"/>
          <w:spacing w:val="-6"/>
        </w:rPr>
        <w:t xml:space="preserve">de </w:t>
      </w:r>
      <w:r>
        <w:rPr>
          <w:color w:val="231F20"/>
        </w:rPr>
        <w:t>uma</w:t>
      </w:r>
      <w:r>
        <w:rPr>
          <w:color w:val="231F20"/>
          <w:spacing w:val="16"/>
        </w:rPr>
        <w:t xml:space="preserve"> </w:t>
      </w:r>
      <w:r>
        <w:rPr>
          <w:color w:val="231F20"/>
        </w:rPr>
        <w:t>gestão</w:t>
      </w:r>
      <w:r>
        <w:rPr>
          <w:color w:val="231F20"/>
          <w:spacing w:val="16"/>
        </w:rPr>
        <w:t xml:space="preserve"> </w:t>
      </w:r>
      <w:r>
        <w:rPr>
          <w:color w:val="231F20"/>
        </w:rPr>
        <w:t>profissional,</w:t>
      </w:r>
      <w:r>
        <w:rPr>
          <w:color w:val="231F20"/>
          <w:spacing w:val="16"/>
        </w:rPr>
        <w:t xml:space="preserve"> </w:t>
      </w:r>
      <w:r>
        <w:rPr>
          <w:color w:val="231F20"/>
        </w:rPr>
        <w:t>baseada</w:t>
      </w:r>
      <w:r>
        <w:rPr>
          <w:color w:val="231F20"/>
          <w:spacing w:val="16"/>
        </w:rPr>
        <w:t xml:space="preserve"> </w:t>
      </w:r>
      <w:r>
        <w:rPr>
          <w:color w:val="231F20"/>
        </w:rPr>
        <w:t>em</w:t>
      </w:r>
      <w:r>
        <w:rPr>
          <w:color w:val="231F20"/>
          <w:spacing w:val="17"/>
        </w:rPr>
        <w:t xml:space="preserve"> </w:t>
      </w:r>
      <w:r>
        <w:rPr>
          <w:color w:val="231F20"/>
        </w:rPr>
        <w:t>uma</w:t>
      </w:r>
      <w:r>
        <w:rPr>
          <w:color w:val="231F20"/>
          <w:spacing w:val="17"/>
        </w:rPr>
        <w:t xml:space="preserve"> </w:t>
      </w:r>
      <w:r>
        <w:rPr>
          <w:color w:val="231F20"/>
        </w:rPr>
        <w:t>relação</w:t>
      </w:r>
      <w:r>
        <w:rPr>
          <w:color w:val="231F20"/>
          <w:spacing w:val="16"/>
        </w:rPr>
        <w:t xml:space="preserve"> </w:t>
      </w:r>
      <w:r>
        <w:rPr>
          <w:color w:val="231F20"/>
        </w:rPr>
        <w:t xml:space="preserve">commercial definida em contrato, com a gestão em uma estrutura que não seja profissionalizada, observa-se que a atuação das </w:t>
      </w:r>
      <w:r>
        <w:rPr>
          <w:color w:val="231F20"/>
          <w:spacing w:val="-3"/>
        </w:rPr>
        <w:t xml:space="preserve">partes </w:t>
      </w:r>
      <w:r>
        <w:rPr>
          <w:color w:val="231F20"/>
        </w:rPr>
        <w:t xml:space="preserve">envolvidas deixa de ser baseada </w:t>
      </w:r>
      <w:r>
        <w:rPr>
          <w:color w:val="231F20"/>
        </w:rPr>
        <w:lastRenderedPageBreak/>
        <w:t>nas regras preestabelecidas em</w:t>
      </w:r>
      <w:r>
        <w:rPr>
          <w:color w:val="231F20"/>
          <w:spacing w:val="-14"/>
        </w:rPr>
        <w:t xml:space="preserve"> </w:t>
      </w:r>
      <w:r>
        <w:rPr>
          <w:color w:val="231F20"/>
        </w:rPr>
        <w:t>contrato,</w:t>
      </w:r>
      <w:r>
        <w:rPr>
          <w:color w:val="231F20"/>
          <w:spacing w:val="-14"/>
        </w:rPr>
        <w:t xml:space="preserve"> </w:t>
      </w:r>
      <w:r>
        <w:rPr>
          <w:color w:val="231F20"/>
        </w:rPr>
        <w:t>e</w:t>
      </w:r>
      <w:r>
        <w:rPr>
          <w:color w:val="231F20"/>
          <w:spacing w:val="-14"/>
        </w:rPr>
        <w:t xml:space="preserve"> </w:t>
      </w:r>
      <w:r>
        <w:rPr>
          <w:color w:val="231F20"/>
        </w:rPr>
        <w:t>passa</w:t>
      </w:r>
      <w:r>
        <w:rPr>
          <w:color w:val="231F20"/>
          <w:spacing w:val="-14"/>
        </w:rPr>
        <w:t xml:space="preserve"> </w:t>
      </w:r>
      <w:r>
        <w:rPr>
          <w:color w:val="231F20"/>
        </w:rPr>
        <w:t>para</w:t>
      </w:r>
      <w:r>
        <w:rPr>
          <w:color w:val="231F20"/>
          <w:spacing w:val="-14"/>
        </w:rPr>
        <w:t xml:space="preserve"> </w:t>
      </w:r>
      <w:r>
        <w:rPr>
          <w:color w:val="231F20"/>
        </w:rPr>
        <w:t>níveis</w:t>
      </w:r>
      <w:r>
        <w:rPr>
          <w:color w:val="231F20"/>
          <w:spacing w:val="-14"/>
        </w:rPr>
        <w:t xml:space="preserve"> </w:t>
      </w:r>
      <w:r>
        <w:rPr>
          <w:color w:val="231F20"/>
        </w:rPr>
        <w:t>subjetivos</w:t>
      </w:r>
      <w:r>
        <w:rPr>
          <w:color w:val="231F20"/>
          <w:spacing w:val="-14"/>
        </w:rPr>
        <w:t xml:space="preserve"> </w:t>
      </w:r>
      <w:r>
        <w:rPr>
          <w:color w:val="231F20"/>
        </w:rPr>
        <w:t>baseados</w:t>
      </w:r>
      <w:r>
        <w:rPr>
          <w:color w:val="231F20"/>
          <w:spacing w:val="-14"/>
        </w:rPr>
        <w:t xml:space="preserve"> </w:t>
      </w:r>
      <w:r>
        <w:rPr>
          <w:color w:val="231F20"/>
        </w:rPr>
        <w:t>na</w:t>
      </w:r>
      <w:r>
        <w:rPr>
          <w:color w:val="231F20"/>
          <w:spacing w:val="-14"/>
        </w:rPr>
        <w:t xml:space="preserve"> </w:t>
      </w:r>
      <w:r>
        <w:rPr>
          <w:color w:val="231F20"/>
        </w:rPr>
        <w:t xml:space="preserve">relação familiar entre as partes, a qual é, normalmente, baseada </w:t>
      </w:r>
      <w:r>
        <w:rPr>
          <w:color w:val="231F20"/>
          <w:spacing w:val="-8"/>
        </w:rPr>
        <w:t xml:space="preserve">em </w:t>
      </w:r>
      <w:r>
        <w:rPr>
          <w:color w:val="231F20"/>
        </w:rPr>
        <w:t xml:space="preserve">acordos subliminares e na procrastinação, dois costumes que não coadunam com a performance exigida de uma </w:t>
      </w:r>
      <w:r>
        <w:rPr>
          <w:color w:val="231F20"/>
          <w:spacing w:val="-3"/>
        </w:rPr>
        <w:t xml:space="preserve">gestão </w:t>
      </w:r>
      <w:r>
        <w:rPr>
          <w:color w:val="231F20"/>
        </w:rPr>
        <w:t xml:space="preserve">corporativa. </w:t>
      </w:r>
    </w:p>
    <w:p w:rsidR="009D70AE" w:rsidRDefault="009D70AE" w:rsidP="00891971">
      <w:pPr>
        <w:pStyle w:val="Corpodetexto"/>
        <w:jc w:val="both"/>
        <w:rPr>
          <w:color w:val="231F20"/>
        </w:rPr>
      </w:pPr>
    </w:p>
    <w:p w:rsidR="00774DD5" w:rsidRDefault="00774DD5" w:rsidP="00891971">
      <w:pPr>
        <w:pStyle w:val="Corpodetexto"/>
        <w:jc w:val="both"/>
      </w:pPr>
      <w:r>
        <w:rPr>
          <w:color w:val="231F20"/>
        </w:rPr>
        <w:t xml:space="preserve">Para fins de análise, não adianta, por exemplo, tomar-se uma decisão de correção de rumo no mês de </w:t>
      </w:r>
      <w:r>
        <w:rPr>
          <w:color w:val="231F20"/>
          <w:spacing w:val="-3"/>
        </w:rPr>
        <w:t xml:space="preserve">maio </w:t>
      </w:r>
      <w:r>
        <w:rPr>
          <w:color w:val="231F20"/>
        </w:rPr>
        <w:t>baseando-se nos resultados referentes ao mês de fevereiro. Fechamento de resultado financeiro deve ser realizado, no mínimo, mensalmente, resultados operacionais e comerciais, semanalmente, e decisões corretivas devem ser tomadas constantemente.</w:t>
      </w:r>
      <w:r>
        <w:rPr>
          <w:color w:val="231F20"/>
          <w:spacing w:val="-7"/>
        </w:rPr>
        <w:t xml:space="preserve"> </w:t>
      </w:r>
      <w:r>
        <w:rPr>
          <w:color w:val="231F20"/>
        </w:rPr>
        <w:t>Para</w:t>
      </w:r>
      <w:r>
        <w:rPr>
          <w:color w:val="231F20"/>
          <w:spacing w:val="-6"/>
        </w:rPr>
        <w:t xml:space="preserve"> </w:t>
      </w:r>
      <w:r>
        <w:rPr>
          <w:color w:val="231F20"/>
        </w:rPr>
        <w:t>que</w:t>
      </w:r>
      <w:r>
        <w:rPr>
          <w:color w:val="231F20"/>
          <w:spacing w:val="-6"/>
        </w:rPr>
        <w:t xml:space="preserve"> </w:t>
      </w:r>
      <w:r>
        <w:rPr>
          <w:color w:val="231F20"/>
        </w:rPr>
        <w:t>isso</w:t>
      </w:r>
      <w:r>
        <w:rPr>
          <w:color w:val="231F20"/>
          <w:spacing w:val="-7"/>
        </w:rPr>
        <w:t xml:space="preserve"> </w:t>
      </w:r>
      <w:r>
        <w:rPr>
          <w:color w:val="231F20"/>
        </w:rPr>
        <w:t>ocorra,</w:t>
      </w:r>
      <w:r>
        <w:rPr>
          <w:color w:val="231F20"/>
          <w:spacing w:val="-6"/>
        </w:rPr>
        <w:t xml:space="preserve"> </w:t>
      </w:r>
      <w:r>
        <w:rPr>
          <w:color w:val="231F20"/>
        </w:rPr>
        <w:t>de</w:t>
      </w:r>
      <w:r>
        <w:rPr>
          <w:color w:val="231F20"/>
          <w:spacing w:val="-6"/>
        </w:rPr>
        <w:t xml:space="preserve"> </w:t>
      </w:r>
      <w:r>
        <w:rPr>
          <w:color w:val="231F20"/>
        </w:rPr>
        <w:t>forma</w:t>
      </w:r>
      <w:r>
        <w:rPr>
          <w:color w:val="231F20"/>
          <w:spacing w:val="-6"/>
        </w:rPr>
        <w:t xml:space="preserve"> </w:t>
      </w:r>
      <w:r>
        <w:rPr>
          <w:color w:val="231F20"/>
        </w:rPr>
        <w:t>adequada,</w:t>
      </w:r>
      <w:r>
        <w:rPr>
          <w:color w:val="231F20"/>
          <w:spacing w:val="-7"/>
        </w:rPr>
        <w:t xml:space="preserve"> </w:t>
      </w:r>
      <w:r>
        <w:rPr>
          <w:color w:val="231F20"/>
          <w:spacing w:val="-4"/>
        </w:rPr>
        <w:t xml:space="preserve">não </w:t>
      </w:r>
      <w:r>
        <w:rPr>
          <w:color w:val="231F20"/>
        </w:rPr>
        <w:t>há</w:t>
      </w:r>
      <w:r>
        <w:rPr>
          <w:color w:val="231F20"/>
          <w:spacing w:val="-8"/>
        </w:rPr>
        <w:t xml:space="preserve"> </w:t>
      </w:r>
      <w:r>
        <w:rPr>
          <w:color w:val="231F20"/>
        </w:rPr>
        <w:t>espaço</w:t>
      </w:r>
      <w:r>
        <w:rPr>
          <w:color w:val="231F20"/>
          <w:spacing w:val="-7"/>
        </w:rPr>
        <w:t xml:space="preserve"> </w:t>
      </w:r>
      <w:r>
        <w:rPr>
          <w:color w:val="231F20"/>
        </w:rPr>
        <w:t>para</w:t>
      </w:r>
      <w:r>
        <w:rPr>
          <w:color w:val="231F20"/>
          <w:spacing w:val="-8"/>
        </w:rPr>
        <w:t xml:space="preserve"> </w:t>
      </w:r>
      <w:r>
        <w:rPr>
          <w:color w:val="231F20"/>
        </w:rPr>
        <w:t>protelações</w:t>
      </w:r>
      <w:r>
        <w:rPr>
          <w:color w:val="231F20"/>
          <w:spacing w:val="-7"/>
        </w:rPr>
        <w:t xml:space="preserve"> </w:t>
      </w:r>
      <w:r>
        <w:rPr>
          <w:color w:val="231F20"/>
        </w:rPr>
        <w:t>e</w:t>
      </w:r>
      <w:r>
        <w:rPr>
          <w:color w:val="231F20"/>
          <w:spacing w:val="-7"/>
        </w:rPr>
        <w:t xml:space="preserve"> </w:t>
      </w:r>
      <w:r>
        <w:rPr>
          <w:color w:val="231F20"/>
        </w:rPr>
        <w:t>desculpas,</w:t>
      </w:r>
      <w:r>
        <w:rPr>
          <w:color w:val="231F20"/>
          <w:spacing w:val="-8"/>
        </w:rPr>
        <w:t xml:space="preserve"> </w:t>
      </w:r>
      <w:r>
        <w:rPr>
          <w:color w:val="231F20"/>
        </w:rPr>
        <w:t>o</w:t>
      </w:r>
      <w:r>
        <w:rPr>
          <w:color w:val="231F20"/>
          <w:spacing w:val="-7"/>
        </w:rPr>
        <w:t xml:space="preserve"> </w:t>
      </w:r>
      <w:r>
        <w:rPr>
          <w:color w:val="231F20"/>
        </w:rPr>
        <w:t>que</w:t>
      </w:r>
      <w:r>
        <w:rPr>
          <w:color w:val="231F20"/>
          <w:spacing w:val="-8"/>
        </w:rPr>
        <w:t xml:space="preserve"> </w:t>
      </w:r>
      <w:r>
        <w:rPr>
          <w:color w:val="231F20"/>
        </w:rPr>
        <w:t>pode</w:t>
      </w:r>
      <w:r>
        <w:rPr>
          <w:color w:val="231F20"/>
          <w:spacing w:val="-7"/>
        </w:rPr>
        <w:t xml:space="preserve"> </w:t>
      </w:r>
      <w:r>
        <w:rPr>
          <w:color w:val="231F20"/>
        </w:rPr>
        <w:t>facilmente ser aceito em uma estrutura puramente</w:t>
      </w:r>
      <w:r>
        <w:rPr>
          <w:color w:val="231F20"/>
          <w:spacing w:val="-4"/>
        </w:rPr>
        <w:t xml:space="preserve"> </w:t>
      </w:r>
      <w:r>
        <w:rPr>
          <w:color w:val="231F20"/>
        </w:rPr>
        <w:t>familiar.</w:t>
      </w:r>
    </w:p>
    <w:p w:rsidR="009D70AE" w:rsidRDefault="009D70AE" w:rsidP="00891971">
      <w:pPr>
        <w:pStyle w:val="Corpodetexto"/>
        <w:jc w:val="both"/>
        <w:rPr>
          <w:color w:val="231F20"/>
        </w:rPr>
      </w:pPr>
    </w:p>
    <w:p w:rsidR="009D70AE" w:rsidRDefault="00EA7434" w:rsidP="00891971">
      <w:pPr>
        <w:pStyle w:val="Corpodetexto"/>
        <w:jc w:val="both"/>
        <w:rPr>
          <w:color w:val="231F20"/>
        </w:rPr>
      </w:pPr>
      <w:r>
        <w:rPr>
          <w:color w:val="231F20"/>
        </w:rPr>
        <w:t>U</w:t>
      </w:r>
      <w:r w:rsidR="00774DD5">
        <w:rPr>
          <w:color w:val="231F20"/>
        </w:rPr>
        <w:t xml:space="preserve">ma holding familiar </w:t>
      </w:r>
      <w:r w:rsidR="00774DD5">
        <w:rPr>
          <w:color w:val="231F20"/>
          <w:spacing w:val="-3"/>
        </w:rPr>
        <w:t xml:space="preserve">pode </w:t>
      </w:r>
      <w:r w:rsidR="00774DD5">
        <w:rPr>
          <w:color w:val="231F20"/>
        </w:rPr>
        <w:t xml:space="preserve">facilitar a transição da gestão da empresa entre as diferentes gerações, que venham a participar do processo. Além </w:t>
      </w:r>
      <w:r w:rsidR="00774DD5">
        <w:rPr>
          <w:color w:val="231F20"/>
          <w:spacing w:val="-3"/>
        </w:rPr>
        <w:t xml:space="preserve">disso, </w:t>
      </w:r>
      <w:r w:rsidR="00774DD5">
        <w:rPr>
          <w:color w:val="231F20"/>
        </w:rPr>
        <w:t xml:space="preserve">“há benefícios na redução dos ônus tributários </w:t>
      </w:r>
      <w:r w:rsidR="00774DD5">
        <w:rPr>
          <w:color w:val="231F20"/>
          <w:spacing w:val="-2"/>
        </w:rPr>
        <w:t xml:space="preserve">(rendimentos </w:t>
      </w:r>
      <w:r w:rsidR="00774DD5">
        <w:rPr>
          <w:color w:val="231F20"/>
        </w:rPr>
        <w:t xml:space="preserve">de aluguéis e ganho de capital), liberdade para </w:t>
      </w:r>
      <w:r w:rsidR="00774DD5">
        <w:rPr>
          <w:color w:val="231F20"/>
          <w:spacing w:val="-2"/>
        </w:rPr>
        <w:t xml:space="preserve">transacionar </w:t>
      </w:r>
      <w:r w:rsidR="00774DD5">
        <w:rPr>
          <w:color w:val="231F20"/>
        </w:rPr>
        <w:t xml:space="preserve">imóveis em geral (compra, venda, incorporação, permutas, etc.) e o principal que é a preservação dos bens adquiridos </w:t>
      </w:r>
      <w:r w:rsidR="00774DD5">
        <w:rPr>
          <w:color w:val="231F20"/>
          <w:spacing w:val="-8"/>
        </w:rPr>
        <w:t xml:space="preserve">ao </w:t>
      </w:r>
      <w:r w:rsidR="00774DD5">
        <w:rPr>
          <w:color w:val="231F20"/>
        </w:rPr>
        <w:t>longo</w:t>
      </w:r>
      <w:r w:rsidR="00774DD5">
        <w:rPr>
          <w:color w:val="231F20"/>
          <w:spacing w:val="-10"/>
        </w:rPr>
        <w:t xml:space="preserve"> </w:t>
      </w:r>
      <w:r w:rsidR="00774DD5">
        <w:rPr>
          <w:color w:val="231F20"/>
        </w:rPr>
        <w:t>de</w:t>
      </w:r>
      <w:r w:rsidR="00774DD5">
        <w:rPr>
          <w:color w:val="231F20"/>
          <w:spacing w:val="-9"/>
        </w:rPr>
        <w:t xml:space="preserve"> </w:t>
      </w:r>
      <w:r w:rsidR="00774DD5">
        <w:rPr>
          <w:color w:val="231F20"/>
        </w:rPr>
        <w:t>uma</w:t>
      </w:r>
      <w:r w:rsidR="00774DD5">
        <w:rPr>
          <w:color w:val="231F20"/>
          <w:spacing w:val="-9"/>
        </w:rPr>
        <w:t xml:space="preserve"> </w:t>
      </w:r>
      <w:r w:rsidR="00774DD5">
        <w:rPr>
          <w:color w:val="231F20"/>
        </w:rPr>
        <w:t>vida,</w:t>
      </w:r>
      <w:r w:rsidR="00774DD5">
        <w:rPr>
          <w:color w:val="231F20"/>
          <w:spacing w:val="-9"/>
        </w:rPr>
        <w:t xml:space="preserve"> </w:t>
      </w:r>
      <w:r w:rsidR="00774DD5">
        <w:rPr>
          <w:color w:val="231F20"/>
        </w:rPr>
        <w:t>sem</w:t>
      </w:r>
      <w:r w:rsidR="00774DD5">
        <w:rPr>
          <w:color w:val="231F20"/>
          <w:spacing w:val="-9"/>
        </w:rPr>
        <w:t xml:space="preserve"> </w:t>
      </w:r>
      <w:r w:rsidR="00774DD5">
        <w:rPr>
          <w:color w:val="231F20"/>
        </w:rPr>
        <w:t>que</w:t>
      </w:r>
      <w:r w:rsidR="00774DD5">
        <w:rPr>
          <w:color w:val="231F20"/>
          <w:spacing w:val="-9"/>
        </w:rPr>
        <w:t xml:space="preserve"> </w:t>
      </w:r>
      <w:r w:rsidR="00774DD5">
        <w:rPr>
          <w:color w:val="231F20"/>
        </w:rPr>
        <w:t>todos</w:t>
      </w:r>
      <w:r w:rsidR="00774DD5">
        <w:rPr>
          <w:color w:val="231F20"/>
          <w:spacing w:val="-10"/>
        </w:rPr>
        <w:t xml:space="preserve"> </w:t>
      </w:r>
      <w:r w:rsidR="00774DD5">
        <w:rPr>
          <w:color w:val="231F20"/>
        </w:rPr>
        <w:t>vão</w:t>
      </w:r>
      <w:r w:rsidR="00774DD5">
        <w:rPr>
          <w:color w:val="231F20"/>
          <w:spacing w:val="-9"/>
        </w:rPr>
        <w:t xml:space="preserve"> </w:t>
      </w:r>
      <w:r w:rsidR="00774DD5">
        <w:rPr>
          <w:color w:val="231F20"/>
        </w:rPr>
        <w:t>a</w:t>
      </w:r>
      <w:r w:rsidR="00774DD5">
        <w:rPr>
          <w:color w:val="231F20"/>
          <w:spacing w:val="-9"/>
        </w:rPr>
        <w:t xml:space="preserve"> </w:t>
      </w:r>
      <w:r w:rsidR="00774DD5">
        <w:rPr>
          <w:color w:val="231F20"/>
        </w:rPr>
        <w:t>inventário</w:t>
      </w:r>
      <w:r w:rsidR="00774DD5">
        <w:rPr>
          <w:color w:val="231F20"/>
          <w:spacing w:val="-9"/>
        </w:rPr>
        <w:t xml:space="preserve"> </w:t>
      </w:r>
      <w:r w:rsidR="00774DD5">
        <w:rPr>
          <w:color w:val="231F20"/>
        </w:rPr>
        <w:t>após</w:t>
      </w:r>
      <w:r w:rsidR="00774DD5">
        <w:rPr>
          <w:color w:val="231F20"/>
          <w:spacing w:val="-9"/>
        </w:rPr>
        <w:t xml:space="preserve"> </w:t>
      </w:r>
      <w:r w:rsidR="00774DD5">
        <w:rPr>
          <w:color w:val="231F20"/>
        </w:rPr>
        <w:t>a</w:t>
      </w:r>
      <w:r w:rsidR="00774DD5">
        <w:rPr>
          <w:color w:val="231F20"/>
          <w:spacing w:val="-9"/>
        </w:rPr>
        <w:t xml:space="preserve"> </w:t>
      </w:r>
      <w:r w:rsidR="00774DD5">
        <w:rPr>
          <w:color w:val="231F20"/>
        </w:rPr>
        <w:t>falta do patriarca”.</w:t>
      </w:r>
    </w:p>
    <w:p w:rsidR="009D70AE" w:rsidRDefault="009D70AE" w:rsidP="00891971">
      <w:pPr>
        <w:pStyle w:val="Corpodetexto"/>
        <w:jc w:val="both"/>
        <w:rPr>
          <w:color w:val="231F20"/>
        </w:rPr>
      </w:pPr>
    </w:p>
    <w:p w:rsidR="00774DD5" w:rsidRPr="009D70AE" w:rsidRDefault="009D70AE" w:rsidP="00891971">
      <w:pPr>
        <w:pStyle w:val="Corpodetexto"/>
        <w:jc w:val="both"/>
        <w:rPr>
          <w:b/>
        </w:rPr>
      </w:pPr>
      <w:r w:rsidRPr="009D70AE">
        <w:rPr>
          <w:b/>
          <w:color w:val="231F20"/>
        </w:rPr>
        <w:t xml:space="preserve">3. </w:t>
      </w:r>
      <w:r w:rsidR="00774DD5" w:rsidRPr="009D70AE">
        <w:rPr>
          <w:b/>
          <w:color w:val="231F20"/>
        </w:rPr>
        <w:t>Conclusão</w:t>
      </w:r>
    </w:p>
    <w:p w:rsidR="00774DD5" w:rsidRDefault="00774DD5" w:rsidP="00891971">
      <w:pPr>
        <w:pStyle w:val="Corpodetexto"/>
        <w:jc w:val="both"/>
      </w:pPr>
      <w:r>
        <w:rPr>
          <w:color w:val="231F20"/>
        </w:rPr>
        <w:t xml:space="preserve">São nítidos os benefícios de utilização de uma </w:t>
      </w:r>
      <w:r>
        <w:rPr>
          <w:i/>
          <w:color w:val="231F20"/>
        </w:rPr>
        <w:t xml:space="preserve">holding </w:t>
      </w:r>
      <w:r>
        <w:rPr>
          <w:color w:val="231F20"/>
        </w:rPr>
        <w:t xml:space="preserve">familiar como solução para o planejamento sucessório, começando do momento em que o patriarca venha a </w:t>
      </w:r>
      <w:r>
        <w:rPr>
          <w:color w:val="231F20"/>
          <w:spacing w:val="-5"/>
        </w:rPr>
        <w:t xml:space="preserve">faltar, </w:t>
      </w:r>
      <w:r>
        <w:rPr>
          <w:color w:val="231F20"/>
        </w:rPr>
        <w:t xml:space="preserve">com uma redução significativa das custas inventariais que são mínimas, uma vez comparadas a um inventário de pessoa física. Com a questão da partilha de bens e da gestão </w:t>
      </w:r>
      <w:r>
        <w:rPr>
          <w:color w:val="231F20"/>
          <w:spacing w:val="-8"/>
        </w:rPr>
        <w:t xml:space="preserve">da </w:t>
      </w:r>
      <w:r>
        <w:rPr>
          <w:color w:val="231F20"/>
        </w:rPr>
        <w:t xml:space="preserve">empresa resolvidas, sobram poucas razões para disputas e desavenças entre os herdeiros. A tendência, portanto, é </w:t>
      </w:r>
      <w:r>
        <w:rPr>
          <w:color w:val="231F20"/>
          <w:spacing w:val="-5"/>
        </w:rPr>
        <w:t xml:space="preserve">que   </w:t>
      </w:r>
      <w:r>
        <w:rPr>
          <w:color w:val="231F20"/>
        </w:rPr>
        <w:t>a família possa se concentrar na administração das questões sentimentais, uma vez que há profissionais trabalhando para manter a atividade produtiva em andamento.</w:t>
      </w:r>
    </w:p>
    <w:p w:rsidR="00774DD5" w:rsidRDefault="00774DD5" w:rsidP="00891971">
      <w:pPr>
        <w:pStyle w:val="Corpodetexto"/>
        <w:jc w:val="both"/>
        <w:rPr>
          <w:color w:val="231F20"/>
        </w:rPr>
      </w:pPr>
    </w:p>
    <w:p w:rsidR="00774DD5" w:rsidRDefault="00774DD5" w:rsidP="00891971">
      <w:pPr>
        <w:pStyle w:val="Corpodetexto"/>
        <w:jc w:val="both"/>
      </w:pPr>
      <w:r>
        <w:rPr>
          <w:color w:val="231F20"/>
        </w:rPr>
        <w:t>A</w:t>
      </w:r>
      <w:r>
        <w:rPr>
          <w:color w:val="231F20"/>
          <w:spacing w:val="-16"/>
        </w:rPr>
        <w:t xml:space="preserve"> </w:t>
      </w:r>
      <w:r>
        <w:rPr>
          <w:color w:val="231F20"/>
        </w:rPr>
        <w:t>empresa</w:t>
      </w:r>
      <w:r>
        <w:rPr>
          <w:color w:val="231F20"/>
          <w:spacing w:val="-7"/>
        </w:rPr>
        <w:t xml:space="preserve"> </w:t>
      </w:r>
      <w:r>
        <w:rPr>
          <w:color w:val="231F20"/>
        </w:rPr>
        <w:t>segue</w:t>
      </w:r>
      <w:r>
        <w:rPr>
          <w:color w:val="231F20"/>
          <w:spacing w:val="-6"/>
        </w:rPr>
        <w:t xml:space="preserve"> </w:t>
      </w:r>
      <w:r>
        <w:rPr>
          <w:color w:val="231F20"/>
        </w:rPr>
        <w:t>seu</w:t>
      </w:r>
      <w:r>
        <w:rPr>
          <w:color w:val="231F20"/>
          <w:spacing w:val="-6"/>
        </w:rPr>
        <w:t xml:space="preserve"> </w:t>
      </w:r>
      <w:r>
        <w:rPr>
          <w:color w:val="231F20"/>
        </w:rPr>
        <w:t>caminho</w:t>
      </w:r>
      <w:r>
        <w:rPr>
          <w:color w:val="231F20"/>
          <w:spacing w:val="-7"/>
        </w:rPr>
        <w:t xml:space="preserve"> </w:t>
      </w:r>
      <w:r>
        <w:rPr>
          <w:color w:val="231F20"/>
        </w:rPr>
        <w:t>contando</w:t>
      </w:r>
      <w:r>
        <w:rPr>
          <w:color w:val="231F20"/>
          <w:spacing w:val="-6"/>
        </w:rPr>
        <w:t xml:space="preserve"> </w:t>
      </w:r>
      <w:r>
        <w:rPr>
          <w:color w:val="231F20"/>
        </w:rPr>
        <w:t>com profissionais em</w:t>
      </w:r>
      <w:r>
        <w:rPr>
          <w:color w:val="231F20"/>
          <w:spacing w:val="19"/>
        </w:rPr>
        <w:t xml:space="preserve"> </w:t>
      </w:r>
      <w:r>
        <w:rPr>
          <w:color w:val="231F20"/>
        </w:rPr>
        <w:t>sua</w:t>
      </w:r>
      <w:r>
        <w:rPr>
          <w:color w:val="231F20"/>
          <w:spacing w:val="19"/>
        </w:rPr>
        <w:t xml:space="preserve"> </w:t>
      </w:r>
      <w:r>
        <w:rPr>
          <w:color w:val="231F20"/>
        </w:rPr>
        <w:t>gestão,</w:t>
      </w:r>
      <w:r>
        <w:rPr>
          <w:color w:val="231F20"/>
          <w:spacing w:val="19"/>
        </w:rPr>
        <w:t xml:space="preserve"> </w:t>
      </w:r>
      <w:r>
        <w:rPr>
          <w:color w:val="231F20"/>
        </w:rPr>
        <w:t>os</w:t>
      </w:r>
      <w:r>
        <w:rPr>
          <w:color w:val="231F20"/>
          <w:spacing w:val="19"/>
        </w:rPr>
        <w:t xml:space="preserve"> </w:t>
      </w:r>
      <w:r>
        <w:rPr>
          <w:color w:val="231F20"/>
        </w:rPr>
        <w:t>herdeiros</w:t>
      </w:r>
      <w:r>
        <w:rPr>
          <w:color w:val="231F20"/>
          <w:spacing w:val="20"/>
        </w:rPr>
        <w:t xml:space="preserve"> </w:t>
      </w:r>
      <w:r>
        <w:rPr>
          <w:color w:val="231F20"/>
        </w:rPr>
        <w:t>e</w:t>
      </w:r>
      <w:r>
        <w:rPr>
          <w:color w:val="231F20"/>
          <w:spacing w:val="19"/>
        </w:rPr>
        <w:t xml:space="preserve"> </w:t>
      </w:r>
      <w:r>
        <w:rPr>
          <w:color w:val="231F20"/>
        </w:rPr>
        <w:t>sócios</w:t>
      </w:r>
      <w:r>
        <w:rPr>
          <w:color w:val="231F20"/>
          <w:spacing w:val="19"/>
        </w:rPr>
        <w:t xml:space="preserve"> </w:t>
      </w:r>
      <w:r>
        <w:rPr>
          <w:color w:val="231F20"/>
        </w:rPr>
        <w:t>da</w:t>
      </w:r>
      <w:r>
        <w:rPr>
          <w:color w:val="231F20"/>
          <w:spacing w:val="19"/>
        </w:rPr>
        <w:t xml:space="preserve"> </w:t>
      </w:r>
      <w:r>
        <w:rPr>
          <w:color w:val="231F20"/>
        </w:rPr>
        <w:t>empresa</w:t>
      </w:r>
      <w:r>
        <w:rPr>
          <w:color w:val="231F20"/>
          <w:spacing w:val="20"/>
        </w:rPr>
        <w:t xml:space="preserve"> </w:t>
      </w:r>
      <w:r>
        <w:rPr>
          <w:color w:val="231F20"/>
        </w:rPr>
        <w:t xml:space="preserve">continuam definida em contrato, com a gestão em uma estrutura que não seja profissionalizada, observa-se que a atuação das </w:t>
      </w:r>
      <w:r>
        <w:rPr>
          <w:color w:val="231F20"/>
          <w:spacing w:val="-3"/>
        </w:rPr>
        <w:t xml:space="preserve">partes </w:t>
      </w:r>
      <w:r>
        <w:rPr>
          <w:color w:val="231F20"/>
        </w:rPr>
        <w:t>envolvidas deixa de ser baseada nas regras preestabelecidas em</w:t>
      </w:r>
      <w:r>
        <w:rPr>
          <w:color w:val="231F20"/>
          <w:spacing w:val="-14"/>
        </w:rPr>
        <w:t xml:space="preserve"> </w:t>
      </w:r>
      <w:r>
        <w:rPr>
          <w:color w:val="231F20"/>
        </w:rPr>
        <w:t>contrato,</w:t>
      </w:r>
      <w:r>
        <w:rPr>
          <w:color w:val="231F20"/>
          <w:spacing w:val="-14"/>
        </w:rPr>
        <w:t xml:space="preserve"> </w:t>
      </w:r>
      <w:r>
        <w:rPr>
          <w:color w:val="231F20"/>
        </w:rPr>
        <w:t>e</w:t>
      </w:r>
      <w:r>
        <w:rPr>
          <w:color w:val="231F20"/>
          <w:spacing w:val="-14"/>
        </w:rPr>
        <w:t xml:space="preserve"> </w:t>
      </w:r>
      <w:r>
        <w:rPr>
          <w:color w:val="231F20"/>
        </w:rPr>
        <w:t>passa</w:t>
      </w:r>
      <w:r>
        <w:rPr>
          <w:color w:val="231F20"/>
          <w:spacing w:val="-14"/>
        </w:rPr>
        <w:t xml:space="preserve"> </w:t>
      </w:r>
      <w:r>
        <w:rPr>
          <w:color w:val="231F20"/>
        </w:rPr>
        <w:t>para</w:t>
      </w:r>
      <w:r>
        <w:rPr>
          <w:color w:val="231F20"/>
          <w:spacing w:val="-14"/>
        </w:rPr>
        <w:t xml:space="preserve"> </w:t>
      </w:r>
      <w:r>
        <w:rPr>
          <w:color w:val="231F20"/>
        </w:rPr>
        <w:t>níveis</w:t>
      </w:r>
      <w:r>
        <w:rPr>
          <w:color w:val="231F20"/>
          <w:spacing w:val="-14"/>
        </w:rPr>
        <w:t xml:space="preserve"> </w:t>
      </w:r>
      <w:r>
        <w:rPr>
          <w:color w:val="231F20"/>
        </w:rPr>
        <w:t>subjetivos</w:t>
      </w:r>
      <w:r>
        <w:rPr>
          <w:color w:val="231F20"/>
          <w:spacing w:val="-14"/>
        </w:rPr>
        <w:t xml:space="preserve"> </w:t>
      </w:r>
      <w:r>
        <w:rPr>
          <w:color w:val="231F20"/>
        </w:rPr>
        <w:t>baseados</w:t>
      </w:r>
      <w:r>
        <w:rPr>
          <w:color w:val="231F20"/>
          <w:spacing w:val="-14"/>
        </w:rPr>
        <w:t xml:space="preserve"> </w:t>
      </w:r>
      <w:r>
        <w:rPr>
          <w:color w:val="231F20"/>
        </w:rPr>
        <w:t>na</w:t>
      </w:r>
      <w:r>
        <w:rPr>
          <w:color w:val="231F20"/>
          <w:spacing w:val="-14"/>
        </w:rPr>
        <w:t xml:space="preserve"> </w:t>
      </w:r>
      <w:r>
        <w:rPr>
          <w:color w:val="231F20"/>
        </w:rPr>
        <w:t xml:space="preserve">relação familiar entre as partes, a qual é, normalmente, baseada </w:t>
      </w:r>
      <w:r>
        <w:rPr>
          <w:color w:val="231F20"/>
          <w:spacing w:val="-8"/>
        </w:rPr>
        <w:t xml:space="preserve">em </w:t>
      </w:r>
      <w:r>
        <w:rPr>
          <w:color w:val="231F20"/>
        </w:rPr>
        <w:t xml:space="preserve">acordos subliminares e na procrastinação, dois costumes que não coadunam com a performance exigida de uma </w:t>
      </w:r>
      <w:r>
        <w:rPr>
          <w:color w:val="231F20"/>
          <w:spacing w:val="-3"/>
        </w:rPr>
        <w:t xml:space="preserve">gestão </w:t>
      </w:r>
      <w:r>
        <w:rPr>
          <w:color w:val="231F20"/>
        </w:rPr>
        <w:t xml:space="preserve">corporativa. Para fins de análise, não adianta, por exemplo, tomar-se uma decisão de correção de rumo no mês de </w:t>
      </w:r>
      <w:r>
        <w:rPr>
          <w:color w:val="231F20"/>
          <w:spacing w:val="-3"/>
        </w:rPr>
        <w:t xml:space="preserve">maio </w:t>
      </w:r>
      <w:r>
        <w:rPr>
          <w:color w:val="231F20"/>
        </w:rPr>
        <w:t>baseando-se nos resultados referentes ao mês de fevereiro. Fechamento de resultado financeiro deve ser realizado, no mínimo, mensalmente, resultados operacionais e comerciais, semanalmente, e decisões corretivas devem ser tomadas constantemente.</w:t>
      </w:r>
      <w:r>
        <w:rPr>
          <w:color w:val="231F20"/>
          <w:spacing w:val="-7"/>
        </w:rPr>
        <w:t xml:space="preserve"> </w:t>
      </w:r>
      <w:r>
        <w:rPr>
          <w:color w:val="231F20"/>
        </w:rPr>
        <w:t>Para</w:t>
      </w:r>
      <w:r>
        <w:rPr>
          <w:color w:val="231F20"/>
          <w:spacing w:val="-6"/>
        </w:rPr>
        <w:t xml:space="preserve"> </w:t>
      </w:r>
      <w:r>
        <w:rPr>
          <w:color w:val="231F20"/>
        </w:rPr>
        <w:t>que</w:t>
      </w:r>
      <w:r>
        <w:rPr>
          <w:color w:val="231F20"/>
          <w:spacing w:val="-6"/>
        </w:rPr>
        <w:t xml:space="preserve"> </w:t>
      </w:r>
      <w:r>
        <w:rPr>
          <w:color w:val="231F20"/>
        </w:rPr>
        <w:t>isso</w:t>
      </w:r>
      <w:r>
        <w:rPr>
          <w:color w:val="231F20"/>
          <w:spacing w:val="-7"/>
        </w:rPr>
        <w:t xml:space="preserve"> </w:t>
      </w:r>
      <w:r>
        <w:rPr>
          <w:color w:val="231F20"/>
        </w:rPr>
        <w:t>ocorra,</w:t>
      </w:r>
      <w:r>
        <w:rPr>
          <w:color w:val="231F20"/>
          <w:spacing w:val="-6"/>
        </w:rPr>
        <w:t xml:space="preserve"> </w:t>
      </w:r>
      <w:r>
        <w:rPr>
          <w:color w:val="231F20"/>
        </w:rPr>
        <w:t>de</w:t>
      </w:r>
      <w:r>
        <w:rPr>
          <w:color w:val="231F20"/>
          <w:spacing w:val="-6"/>
        </w:rPr>
        <w:t xml:space="preserve"> </w:t>
      </w:r>
      <w:r>
        <w:rPr>
          <w:color w:val="231F20"/>
        </w:rPr>
        <w:t>forma</w:t>
      </w:r>
      <w:r>
        <w:rPr>
          <w:color w:val="231F20"/>
          <w:spacing w:val="-6"/>
        </w:rPr>
        <w:t xml:space="preserve"> </w:t>
      </w:r>
      <w:r>
        <w:rPr>
          <w:color w:val="231F20"/>
        </w:rPr>
        <w:t>adequada,</w:t>
      </w:r>
      <w:r>
        <w:rPr>
          <w:color w:val="231F20"/>
          <w:spacing w:val="-7"/>
        </w:rPr>
        <w:t xml:space="preserve"> </w:t>
      </w:r>
      <w:r>
        <w:rPr>
          <w:color w:val="231F20"/>
          <w:spacing w:val="-4"/>
        </w:rPr>
        <w:t xml:space="preserve">não </w:t>
      </w:r>
      <w:r>
        <w:rPr>
          <w:color w:val="231F20"/>
        </w:rPr>
        <w:t>há</w:t>
      </w:r>
      <w:r>
        <w:rPr>
          <w:color w:val="231F20"/>
          <w:spacing w:val="-8"/>
        </w:rPr>
        <w:t xml:space="preserve"> </w:t>
      </w:r>
      <w:r>
        <w:rPr>
          <w:color w:val="231F20"/>
        </w:rPr>
        <w:t>esp</w:t>
      </w:r>
      <w:bookmarkStart w:id="0" w:name="_GoBack"/>
      <w:bookmarkEnd w:id="0"/>
      <w:r>
        <w:rPr>
          <w:color w:val="231F20"/>
        </w:rPr>
        <w:t>aço</w:t>
      </w:r>
      <w:r>
        <w:rPr>
          <w:color w:val="231F20"/>
          <w:spacing w:val="-7"/>
        </w:rPr>
        <w:t xml:space="preserve"> </w:t>
      </w:r>
      <w:r>
        <w:rPr>
          <w:color w:val="231F20"/>
        </w:rPr>
        <w:t>para</w:t>
      </w:r>
      <w:r>
        <w:rPr>
          <w:color w:val="231F20"/>
          <w:spacing w:val="-8"/>
        </w:rPr>
        <w:t xml:space="preserve"> </w:t>
      </w:r>
      <w:r>
        <w:rPr>
          <w:color w:val="231F20"/>
        </w:rPr>
        <w:t>protelações</w:t>
      </w:r>
      <w:r>
        <w:rPr>
          <w:color w:val="231F20"/>
          <w:spacing w:val="-7"/>
        </w:rPr>
        <w:t xml:space="preserve"> </w:t>
      </w:r>
      <w:r>
        <w:rPr>
          <w:color w:val="231F20"/>
        </w:rPr>
        <w:t>e</w:t>
      </w:r>
      <w:r>
        <w:rPr>
          <w:color w:val="231F20"/>
          <w:spacing w:val="-7"/>
        </w:rPr>
        <w:t xml:space="preserve"> </w:t>
      </w:r>
      <w:r>
        <w:rPr>
          <w:color w:val="231F20"/>
        </w:rPr>
        <w:t>desculpas,</w:t>
      </w:r>
      <w:r>
        <w:rPr>
          <w:color w:val="231F20"/>
          <w:spacing w:val="-8"/>
        </w:rPr>
        <w:t xml:space="preserve"> </w:t>
      </w:r>
      <w:r>
        <w:rPr>
          <w:color w:val="231F20"/>
        </w:rPr>
        <w:t>o</w:t>
      </w:r>
      <w:r>
        <w:rPr>
          <w:color w:val="231F20"/>
          <w:spacing w:val="-7"/>
        </w:rPr>
        <w:t xml:space="preserve"> </w:t>
      </w:r>
      <w:r>
        <w:rPr>
          <w:color w:val="231F20"/>
        </w:rPr>
        <w:t>que</w:t>
      </w:r>
      <w:r>
        <w:rPr>
          <w:color w:val="231F20"/>
          <w:spacing w:val="-8"/>
        </w:rPr>
        <w:t xml:space="preserve"> </w:t>
      </w:r>
      <w:r>
        <w:rPr>
          <w:color w:val="231F20"/>
        </w:rPr>
        <w:t>pode</w:t>
      </w:r>
      <w:r>
        <w:rPr>
          <w:color w:val="231F20"/>
          <w:spacing w:val="-7"/>
        </w:rPr>
        <w:t xml:space="preserve"> </w:t>
      </w:r>
      <w:r>
        <w:rPr>
          <w:color w:val="231F20"/>
        </w:rPr>
        <w:t>facilmente ser aceito em uma estrutura puramente</w:t>
      </w:r>
      <w:r>
        <w:rPr>
          <w:color w:val="231F20"/>
          <w:spacing w:val="-4"/>
        </w:rPr>
        <w:t xml:space="preserve"> </w:t>
      </w:r>
      <w:r>
        <w:rPr>
          <w:color w:val="231F20"/>
        </w:rPr>
        <w:t>familiar.</w:t>
      </w:r>
    </w:p>
    <w:p w:rsidR="00774DD5" w:rsidRDefault="00774DD5" w:rsidP="00891971">
      <w:pPr>
        <w:pStyle w:val="Corpodetexto"/>
        <w:jc w:val="both"/>
        <w:rPr>
          <w:color w:val="231F20"/>
        </w:rPr>
      </w:pPr>
    </w:p>
    <w:p w:rsidR="00774DD5" w:rsidRDefault="00544367" w:rsidP="00891971">
      <w:pPr>
        <w:pStyle w:val="Corpodetexto"/>
        <w:jc w:val="both"/>
        <w:rPr>
          <w:color w:val="231F20"/>
        </w:rPr>
      </w:pPr>
      <w:r>
        <w:rPr>
          <w:color w:val="231F20"/>
        </w:rPr>
        <w:t>U</w:t>
      </w:r>
      <w:r w:rsidR="00774DD5">
        <w:rPr>
          <w:color w:val="231F20"/>
        </w:rPr>
        <w:t xml:space="preserve">ma holding familiar </w:t>
      </w:r>
      <w:r w:rsidR="00774DD5">
        <w:rPr>
          <w:color w:val="231F20"/>
          <w:spacing w:val="-3"/>
        </w:rPr>
        <w:t xml:space="preserve">pode </w:t>
      </w:r>
      <w:r w:rsidR="00774DD5">
        <w:rPr>
          <w:color w:val="231F20"/>
        </w:rPr>
        <w:t xml:space="preserve">facilitar a transição da gestão da empresa entre as diferentes gerações, que venham a participar do processo. Além </w:t>
      </w:r>
      <w:r w:rsidR="00774DD5">
        <w:rPr>
          <w:color w:val="231F20"/>
          <w:spacing w:val="-3"/>
        </w:rPr>
        <w:t xml:space="preserve">disso, </w:t>
      </w:r>
      <w:r w:rsidR="00774DD5">
        <w:rPr>
          <w:color w:val="231F20"/>
        </w:rPr>
        <w:t xml:space="preserve">“há benefícios na redução dos ônus tributários </w:t>
      </w:r>
      <w:r w:rsidR="00774DD5">
        <w:rPr>
          <w:color w:val="231F20"/>
          <w:spacing w:val="-2"/>
        </w:rPr>
        <w:t xml:space="preserve">(rendimentos </w:t>
      </w:r>
      <w:r w:rsidR="00774DD5">
        <w:rPr>
          <w:color w:val="231F20"/>
        </w:rPr>
        <w:t xml:space="preserve">de aluguéis e ganho de capital), liberdade para </w:t>
      </w:r>
      <w:r w:rsidR="00774DD5">
        <w:rPr>
          <w:color w:val="231F20"/>
          <w:spacing w:val="-2"/>
        </w:rPr>
        <w:t xml:space="preserve">transacionar </w:t>
      </w:r>
      <w:r w:rsidR="00774DD5">
        <w:rPr>
          <w:color w:val="231F20"/>
        </w:rPr>
        <w:t xml:space="preserve">imóveis em geral (compra, venda, incorporação, permutas, etc.) e o principal que é a preservação dos bens adquiridos </w:t>
      </w:r>
      <w:r w:rsidR="00774DD5">
        <w:rPr>
          <w:color w:val="231F20"/>
          <w:spacing w:val="-8"/>
        </w:rPr>
        <w:t xml:space="preserve">ao </w:t>
      </w:r>
      <w:r w:rsidR="00774DD5">
        <w:rPr>
          <w:color w:val="231F20"/>
        </w:rPr>
        <w:t>longo</w:t>
      </w:r>
      <w:r w:rsidR="00774DD5">
        <w:rPr>
          <w:color w:val="231F20"/>
          <w:spacing w:val="-10"/>
        </w:rPr>
        <w:t xml:space="preserve"> </w:t>
      </w:r>
      <w:r w:rsidR="00774DD5">
        <w:rPr>
          <w:color w:val="231F20"/>
        </w:rPr>
        <w:t>de</w:t>
      </w:r>
      <w:r w:rsidR="00774DD5">
        <w:rPr>
          <w:color w:val="231F20"/>
          <w:spacing w:val="-9"/>
        </w:rPr>
        <w:t xml:space="preserve"> </w:t>
      </w:r>
      <w:r w:rsidR="00774DD5">
        <w:rPr>
          <w:color w:val="231F20"/>
        </w:rPr>
        <w:t>uma</w:t>
      </w:r>
      <w:r w:rsidR="00774DD5">
        <w:rPr>
          <w:color w:val="231F20"/>
          <w:spacing w:val="-9"/>
        </w:rPr>
        <w:t xml:space="preserve"> </w:t>
      </w:r>
      <w:r w:rsidR="00774DD5">
        <w:rPr>
          <w:color w:val="231F20"/>
        </w:rPr>
        <w:t>vida,</w:t>
      </w:r>
      <w:r w:rsidR="00774DD5">
        <w:rPr>
          <w:color w:val="231F20"/>
          <w:spacing w:val="-9"/>
        </w:rPr>
        <w:t xml:space="preserve"> </w:t>
      </w:r>
      <w:r w:rsidR="00774DD5">
        <w:rPr>
          <w:color w:val="231F20"/>
        </w:rPr>
        <w:t>sem</w:t>
      </w:r>
      <w:r w:rsidR="00774DD5">
        <w:rPr>
          <w:color w:val="231F20"/>
          <w:spacing w:val="-9"/>
        </w:rPr>
        <w:t xml:space="preserve"> </w:t>
      </w:r>
      <w:r w:rsidR="00774DD5">
        <w:rPr>
          <w:color w:val="231F20"/>
        </w:rPr>
        <w:t>que</w:t>
      </w:r>
      <w:r w:rsidR="00774DD5">
        <w:rPr>
          <w:color w:val="231F20"/>
          <w:spacing w:val="-9"/>
        </w:rPr>
        <w:t xml:space="preserve"> </w:t>
      </w:r>
      <w:r w:rsidR="00774DD5">
        <w:rPr>
          <w:color w:val="231F20"/>
        </w:rPr>
        <w:t>todos</w:t>
      </w:r>
      <w:r w:rsidR="00774DD5">
        <w:rPr>
          <w:color w:val="231F20"/>
          <w:spacing w:val="-10"/>
        </w:rPr>
        <w:t xml:space="preserve"> </w:t>
      </w:r>
      <w:r w:rsidR="00774DD5">
        <w:rPr>
          <w:color w:val="231F20"/>
        </w:rPr>
        <w:t>vão</w:t>
      </w:r>
      <w:r w:rsidR="00774DD5">
        <w:rPr>
          <w:color w:val="231F20"/>
          <w:spacing w:val="-9"/>
        </w:rPr>
        <w:t xml:space="preserve"> </w:t>
      </w:r>
      <w:r w:rsidR="00774DD5">
        <w:rPr>
          <w:color w:val="231F20"/>
        </w:rPr>
        <w:t>a</w:t>
      </w:r>
      <w:r w:rsidR="00774DD5">
        <w:rPr>
          <w:color w:val="231F20"/>
          <w:spacing w:val="-9"/>
        </w:rPr>
        <w:t xml:space="preserve"> </w:t>
      </w:r>
      <w:r w:rsidR="00774DD5">
        <w:rPr>
          <w:color w:val="231F20"/>
        </w:rPr>
        <w:t>inventário</w:t>
      </w:r>
      <w:r w:rsidR="00774DD5">
        <w:rPr>
          <w:color w:val="231F20"/>
          <w:spacing w:val="-9"/>
        </w:rPr>
        <w:t xml:space="preserve"> </w:t>
      </w:r>
      <w:r w:rsidR="00774DD5">
        <w:rPr>
          <w:color w:val="231F20"/>
        </w:rPr>
        <w:t>após</w:t>
      </w:r>
      <w:r w:rsidR="00774DD5">
        <w:rPr>
          <w:color w:val="231F20"/>
          <w:spacing w:val="-9"/>
        </w:rPr>
        <w:t xml:space="preserve"> </w:t>
      </w:r>
      <w:r w:rsidR="00774DD5">
        <w:rPr>
          <w:color w:val="231F20"/>
        </w:rPr>
        <w:t>a</w:t>
      </w:r>
      <w:r w:rsidR="00774DD5">
        <w:rPr>
          <w:color w:val="231F20"/>
          <w:spacing w:val="-9"/>
        </w:rPr>
        <w:t xml:space="preserve"> </w:t>
      </w:r>
      <w:r w:rsidR="00E5336B">
        <w:rPr>
          <w:color w:val="231F20"/>
        </w:rPr>
        <w:t>falta do patriarca”</w:t>
      </w:r>
      <w:r w:rsidR="00774DD5">
        <w:rPr>
          <w:color w:val="231F20"/>
        </w:rPr>
        <w:t>.</w:t>
      </w:r>
    </w:p>
    <w:p w:rsidR="00891971" w:rsidRDefault="00891971" w:rsidP="00891971">
      <w:pPr>
        <w:pStyle w:val="Corpodetexto"/>
        <w:jc w:val="both"/>
        <w:rPr>
          <w:color w:val="231F20"/>
        </w:rPr>
      </w:pPr>
    </w:p>
    <w:p w:rsidR="00774DD5" w:rsidRDefault="00774DD5" w:rsidP="00891971">
      <w:pPr>
        <w:pStyle w:val="Ttulo2"/>
        <w:spacing w:before="0"/>
        <w:ind w:left="0"/>
      </w:pPr>
      <w:r>
        <w:rPr>
          <w:color w:val="231F20"/>
        </w:rPr>
        <w:lastRenderedPageBreak/>
        <w:t>Referências</w:t>
      </w:r>
    </w:p>
    <w:p w:rsidR="00774DD5" w:rsidRDefault="00774DD5" w:rsidP="00891971">
      <w:pPr>
        <w:jc w:val="both"/>
        <w:rPr>
          <w:sz w:val="18"/>
        </w:rPr>
      </w:pPr>
      <w:r>
        <w:rPr>
          <w:color w:val="231F20"/>
          <w:sz w:val="18"/>
        </w:rPr>
        <w:t>BRASIL. Lei 6.404 de 1976. Lei das Sociedades Anônimas. Brasília-DF,</w:t>
      </w:r>
      <w:r>
        <w:rPr>
          <w:color w:val="231F20"/>
          <w:spacing w:val="-1"/>
          <w:sz w:val="18"/>
        </w:rPr>
        <w:t xml:space="preserve"> </w:t>
      </w:r>
      <w:r>
        <w:rPr>
          <w:color w:val="231F20"/>
          <w:sz w:val="18"/>
        </w:rPr>
        <w:t>1976.</w:t>
      </w:r>
    </w:p>
    <w:p w:rsidR="00891971" w:rsidRDefault="00891971" w:rsidP="00891971">
      <w:pPr>
        <w:jc w:val="both"/>
        <w:rPr>
          <w:color w:val="231F20"/>
          <w:sz w:val="18"/>
        </w:rPr>
      </w:pPr>
    </w:p>
    <w:p w:rsidR="00774DD5" w:rsidRDefault="00774DD5" w:rsidP="00891971">
      <w:pPr>
        <w:jc w:val="both"/>
        <w:rPr>
          <w:sz w:val="18"/>
        </w:rPr>
      </w:pPr>
      <w:r>
        <w:rPr>
          <w:color w:val="231F20"/>
          <w:sz w:val="18"/>
        </w:rPr>
        <w:t>BRASIL. Lei 10.406 de 10 de Janeiro de 2002. Código Civil. Brasília-DF,</w:t>
      </w:r>
      <w:r>
        <w:rPr>
          <w:color w:val="231F20"/>
          <w:spacing w:val="-1"/>
          <w:sz w:val="18"/>
        </w:rPr>
        <w:t xml:space="preserve"> </w:t>
      </w:r>
      <w:r>
        <w:rPr>
          <w:color w:val="231F20"/>
          <w:sz w:val="18"/>
        </w:rPr>
        <w:t>2002.</w:t>
      </w:r>
    </w:p>
    <w:p w:rsidR="00891971" w:rsidRDefault="00891971" w:rsidP="00891971">
      <w:pPr>
        <w:jc w:val="both"/>
        <w:rPr>
          <w:color w:val="231F20"/>
          <w:sz w:val="18"/>
        </w:rPr>
      </w:pPr>
    </w:p>
    <w:p w:rsidR="00774DD5" w:rsidRDefault="00774DD5" w:rsidP="00891971">
      <w:pPr>
        <w:jc w:val="both"/>
        <w:rPr>
          <w:sz w:val="18"/>
        </w:rPr>
      </w:pPr>
      <w:r>
        <w:rPr>
          <w:color w:val="231F20"/>
          <w:sz w:val="18"/>
        </w:rPr>
        <w:t>BRASIL. Lei 9.430 de 27 de Dezembro de 1996. Legislação Tributária Federal. Brasília-DF, 1996.</w:t>
      </w:r>
    </w:p>
    <w:p w:rsidR="00891971" w:rsidRDefault="00891971" w:rsidP="00891971">
      <w:pPr>
        <w:jc w:val="both"/>
        <w:rPr>
          <w:color w:val="231F20"/>
          <w:sz w:val="18"/>
        </w:rPr>
      </w:pPr>
    </w:p>
    <w:p w:rsidR="00774DD5" w:rsidRDefault="00774DD5" w:rsidP="00891971">
      <w:pPr>
        <w:jc w:val="both"/>
        <w:rPr>
          <w:sz w:val="18"/>
        </w:rPr>
      </w:pPr>
      <w:r>
        <w:rPr>
          <w:color w:val="231F20"/>
          <w:sz w:val="18"/>
        </w:rPr>
        <w:t xml:space="preserve">GITMAN, L.J. </w:t>
      </w:r>
      <w:r>
        <w:rPr>
          <w:i/>
          <w:color w:val="231F20"/>
          <w:sz w:val="18"/>
        </w:rPr>
        <w:t>Princípios de administração financeira</w:t>
      </w:r>
      <w:r>
        <w:rPr>
          <w:color w:val="231F20"/>
          <w:sz w:val="18"/>
        </w:rPr>
        <w:t>. São Paulo: Harbra, 2002.</w:t>
      </w:r>
    </w:p>
    <w:p w:rsidR="00891971" w:rsidRDefault="00891971" w:rsidP="00891971">
      <w:pPr>
        <w:jc w:val="both"/>
        <w:rPr>
          <w:color w:val="231F20"/>
          <w:sz w:val="18"/>
        </w:rPr>
      </w:pPr>
    </w:p>
    <w:p w:rsidR="00774DD5" w:rsidRDefault="00774DD5" w:rsidP="00891971">
      <w:pPr>
        <w:jc w:val="both"/>
        <w:rPr>
          <w:sz w:val="18"/>
        </w:rPr>
      </w:pPr>
      <w:r>
        <w:rPr>
          <w:color w:val="231F20"/>
          <w:sz w:val="18"/>
        </w:rPr>
        <w:t xml:space="preserve">PADOVEZE, C.L. </w:t>
      </w:r>
      <w:r>
        <w:rPr>
          <w:i/>
          <w:color w:val="231F20"/>
          <w:sz w:val="18"/>
        </w:rPr>
        <w:t xml:space="preserve">Controladoria estratégica e operacional: </w:t>
      </w:r>
      <w:r>
        <w:rPr>
          <w:color w:val="231F20"/>
          <w:sz w:val="18"/>
        </w:rPr>
        <w:t>conceitos, estrutura, aplicação. São Paulo: Cengage Learning, 2012.</w:t>
      </w:r>
    </w:p>
    <w:p w:rsidR="00774DD5" w:rsidRDefault="00774DD5" w:rsidP="00891971">
      <w:pPr>
        <w:pStyle w:val="Corpodetexto"/>
        <w:jc w:val="both"/>
        <w:rPr>
          <w:color w:val="231F20"/>
          <w:sz w:val="18"/>
        </w:rPr>
      </w:pPr>
    </w:p>
    <w:p w:rsidR="004E4363" w:rsidRDefault="00774DD5" w:rsidP="00891971">
      <w:pPr>
        <w:pStyle w:val="Corpodetexto"/>
        <w:jc w:val="both"/>
        <w:rPr>
          <w:sz w:val="16"/>
        </w:rPr>
      </w:pPr>
      <w:r>
        <w:rPr>
          <w:color w:val="231F20"/>
          <w:sz w:val="18"/>
        </w:rPr>
        <w:t xml:space="preserve">SILVA, F.P. </w:t>
      </w:r>
      <w:r>
        <w:rPr>
          <w:i/>
          <w:color w:val="231F20"/>
          <w:sz w:val="18"/>
        </w:rPr>
        <w:t>Holding familiar</w:t>
      </w:r>
      <w:r>
        <w:rPr>
          <w:color w:val="231F20"/>
          <w:sz w:val="18"/>
        </w:rPr>
        <w:t>: visão jurídica do planejamento familiar, sucessório e tributário. São Paulo: Trevisan, 2017.</w:t>
      </w:r>
    </w:p>
    <w:p w:rsidR="00773095" w:rsidRDefault="00773095" w:rsidP="00891971">
      <w:pPr>
        <w:pStyle w:val="Corpodetexto"/>
        <w:ind w:firstLine="283"/>
        <w:jc w:val="both"/>
        <w:sectPr w:rsidR="00773095" w:rsidSect="00EF7F20">
          <w:headerReference w:type="even" r:id="rId7"/>
          <w:footerReference w:type="even" r:id="rId8"/>
          <w:pgSz w:w="11906" w:h="16838"/>
          <w:pgMar w:top="567" w:right="1134" w:bottom="567" w:left="1134" w:header="709" w:footer="709" w:gutter="0"/>
          <w:cols w:num="2" w:space="708"/>
          <w:docGrid w:linePitch="360"/>
        </w:sectPr>
      </w:pPr>
    </w:p>
    <w:p w:rsidR="004E4363" w:rsidRDefault="004E4363" w:rsidP="00891971">
      <w:pPr>
        <w:pStyle w:val="Corpodetexto"/>
        <w:ind w:firstLine="283"/>
        <w:jc w:val="both"/>
      </w:pPr>
    </w:p>
    <w:sectPr w:rsidR="004E4363" w:rsidSect="00773095">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BFC" w:rsidRDefault="00790BFC" w:rsidP="001C0BF3">
      <w:r>
        <w:separator/>
      </w:r>
    </w:p>
  </w:endnote>
  <w:endnote w:type="continuationSeparator" w:id="0">
    <w:p w:rsidR="00790BFC" w:rsidRDefault="00790BFC" w:rsidP="001C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363" w:rsidRDefault="004E4363">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BFC" w:rsidRDefault="00790BFC" w:rsidP="001C0BF3">
      <w:r>
        <w:separator/>
      </w:r>
    </w:p>
  </w:footnote>
  <w:footnote w:type="continuationSeparator" w:id="0">
    <w:p w:rsidR="00790BFC" w:rsidRDefault="00790BFC" w:rsidP="001C0B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363" w:rsidRDefault="004E4363">
    <w:pPr>
      <w:pStyle w:val="Corpodetexto"/>
      <w:spacing w:line="14" w:lineRule="auto"/>
      <w:rPr>
        <w:sz w:val="20"/>
      </w:rPr>
    </w:pPr>
    <w:r>
      <w:rPr>
        <w:noProof/>
        <w:lang w:val="pt-BR" w:eastAsia="pt-BR" w:bidi="ar-SA"/>
      </w:rPr>
      <mc:AlternateContent>
        <mc:Choice Requires="wps">
          <w:drawing>
            <wp:anchor distT="0" distB="0" distL="114300" distR="114300" simplePos="0" relativeHeight="251667456" behindDoc="1" locked="0" layoutInCell="1" allowOverlap="1">
              <wp:simplePos x="0" y="0"/>
              <wp:positionH relativeFrom="page">
                <wp:posOffset>6227445</wp:posOffset>
              </wp:positionH>
              <wp:positionV relativeFrom="page">
                <wp:posOffset>280670</wp:posOffset>
              </wp:positionV>
              <wp:extent cx="553085" cy="138430"/>
              <wp:effectExtent l="0" t="0" r="0" b="0"/>
              <wp:wrapNone/>
              <wp:docPr id="36" name="Caixa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363" w:rsidRDefault="004E4363">
                          <w:pPr>
                            <w:spacing w:before="13"/>
                            <w:ind w:left="20"/>
                            <w:rPr>
                              <w:sz w:val="16"/>
                            </w:rPr>
                          </w:pPr>
                          <w:r>
                            <w:rPr>
                              <w:color w:val="231F20"/>
                              <w:sz w:val="16"/>
                            </w:rPr>
                            <w:t>DIAS, J.L.E.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6" o:spid="_x0000_s1026" type="#_x0000_t202" style="position:absolute;margin-left:490.35pt;margin-top:22.1pt;width:43.55pt;height:10.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aotQIAALAFAAAOAAAAZHJzL2Uyb0RvYy54bWysVNuOmzAQfa/Uf7D8zgIJZAEtWe1CqCpt&#10;L9JuP8ABE6yCTW0nsF313zs2IdnLS9WWB2uwx2fOzBzP1fXYtehApWKCp9i/8DCivBQV47sUf3so&#10;nAgjpQmvSCs4TfEjVfh6/f7d1dAndCEa0VZUIgDhKhn6FDda94nrqrKhHVEXoqccDmshO6LhV+7c&#10;SpIB0LvWXXjeyh2ErHopSqoU7ObTIV5b/Lqmpf5S14pq1KYYuGm7Srtuzequr0iyk6RvWHmkQf6C&#10;RUcYh6AnqJxogvaSvYHqWCmFErW+KEXnirpmJbU5QDa+9yqb+4b01OYCxVH9qUzq/8GWnw9fJWJV&#10;ipcrjDjpoEcZYSNBFUUPdNQCwQFUaehVAs73Pbjr8VaM0G2bservRPldIS6yhvAdvZFSDA0lFbD0&#10;zU332dUJRxmQ7fBJVBCN7LWwQGMtO1NCKAoCdOjW46lDQASVsBmGSy8KMSrhyF9GwdJ20CXJfLmX&#10;Sn+gokPGSLEEAVhwcrhT2pAhyexiYnFRsLa1Imj5iw1wnHYgNFw1Z4aE7elT7MWbaBMFTrBYbZzA&#10;y3PnpsgCZ1X4l2G+zLMs93+ZuH6QNKyqKDdhZn35wZ/176j0SRknhSnRssrAGUpK7rZZK9GBgL4L&#10;+9mSw8nZzX1JwxYBcnmVkr8IvNtF7BSr6NIJiiB04ksvcjw/vo1XXhAHefEypTvG6b+nhIYUx+Ei&#10;nLR0Jv0qN89+b3MjScc0TJCWdSmOTk4kMQrc8Mq2VhPWTvazUhj651JAu+dGW70aiU5i1eN2BBQj&#10;4q2oHkG5UoCyQJ4w9sBohPyJ0QAjJMXqx55IilH7kYP6zbyZDTkb29kgvISrKdYYTWamp7m07yXb&#10;NYA8vS8ubuCF1Myq98zi+K5gLNgkjiPMzJ3n/9brPGjXvwEAAP//AwBQSwMEFAAGAAgAAAAhAOxw&#10;wQ/fAAAACgEAAA8AAABkcnMvZG93bnJldi54bWxMj8FOwzAQRO9I/IO1lbhRu1XltiFOVSE4ISHS&#10;cODoxNvEarwOsduGv8c9wXG1TzNv8t3kenbBMVhPChZzAQyp8cZSq+Czen3cAAtRk9G9J1TwgwF2&#10;xf1drjPjr1Ti5RBblkIoZFpBF+OQcR6aDp0Ocz8gpd/Rj07HdI4tN6O+pnDX86UQkjttKTV0esDn&#10;DpvT4ewU7L+ofLHf7/VHeSxtVW0FvcmTUg+zaf8ELOIU/2C46Sd1KJJT7c9kAusVbDdinVAFq9US&#10;2A0Qcp3G1AqkFMCLnP+fUPwCAAD//wMAUEsBAi0AFAAGAAgAAAAhALaDOJL+AAAA4QEAABMAAAAA&#10;AAAAAAAAAAAAAAAAAFtDb250ZW50X1R5cGVzXS54bWxQSwECLQAUAAYACAAAACEAOP0h/9YAAACU&#10;AQAACwAAAAAAAAAAAAAAAAAvAQAAX3JlbHMvLnJlbHNQSwECLQAUAAYACAAAACEAEUQmqLUCAACw&#10;BQAADgAAAAAAAAAAAAAAAAAuAgAAZHJzL2Uyb0RvYy54bWxQSwECLQAUAAYACAAAACEA7HDBD98A&#10;AAAKAQAADwAAAAAAAAAAAAAAAAAPBQAAZHJzL2Rvd25yZXYueG1sUEsFBgAAAAAEAAQA8wAAABsG&#10;AAAAAA==&#10;" filled="f" stroked="f">
              <v:textbox inset="0,0,0,0">
                <w:txbxContent>
                  <w:p w:rsidR="004E4363" w:rsidRDefault="004E4363">
                    <w:pPr>
                      <w:spacing w:before="13"/>
                      <w:ind w:left="20"/>
                      <w:rPr>
                        <w:sz w:val="16"/>
                      </w:rPr>
                    </w:pPr>
                    <w:r>
                      <w:rPr>
                        <w:color w:val="231F20"/>
                        <w:sz w:val="16"/>
                      </w:rPr>
                      <w:t>DIAS, J.L.E.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378E2"/>
    <w:multiLevelType w:val="multilevel"/>
    <w:tmpl w:val="0FACA87A"/>
    <w:lvl w:ilvl="0">
      <w:start w:val="1"/>
      <w:numFmt w:val="decimal"/>
      <w:lvlText w:val="%1"/>
      <w:lvlJc w:val="left"/>
      <w:pPr>
        <w:ind w:left="210" w:hanging="96"/>
        <w:jc w:val="right"/>
      </w:pPr>
      <w:rPr>
        <w:rFonts w:hint="default"/>
        <w:b/>
        <w:bCs/>
        <w:w w:val="103"/>
        <w:lang w:val="en-US" w:eastAsia="en-US" w:bidi="en-US"/>
      </w:rPr>
    </w:lvl>
    <w:lvl w:ilvl="1">
      <w:start w:val="1"/>
      <w:numFmt w:val="decimal"/>
      <w:lvlText w:val="%1.%2"/>
      <w:lvlJc w:val="left"/>
      <w:pPr>
        <w:ind w:left="385" w:hanging="285"/>
        <w:jc w:val="right"/>
      </w:pPr>
      <w:rPr>
        <w:rFonts w:ascii="Times New Roman" w:eastAsia="Times New Roman" w:hAnsi="Times New Roman" w:cs="Times New Roman" w:hint="default"/>
        <w:b/>
        <w:bCs/>
        <w:color w:val="231F20"/>
        <w:w w:val="100"/>
        <w:sz w:val="19"/>
        <w:szCs w:val="19"/>
        <w:lang w:val="en-US" w:eastAsia="en-US" w:bidi="en-US"/>
      </w:rPr>
    </w:lvl>
    <w:lvl w:ilvl="2">
      <w:start w:val="1"/>
      <w:numFmt w:val="decimal"/>
      <w:lvlText w:val="%1.%2.%3"/>
      <w:lvlJc w:val="left"/>
      <w:pPr>
        <w:ind w:left="527" w:hanging="428"/>
        <w:jc w:val="right"/>
      </w:pPr>
      <w:rPr>
        <w:rFonts w:ascii="Times New Roman" w:eastAsia="Times New Roman" w:hAnsi="Times New Roman" w:cs="Times New Roman" w:hint="default"/>
        <w:b/>
        <w:bCs/>
        <w:color w:val="231F20"/>
        <w:spacing w:val="-1"/>
        <w:w w:val="100"/>
        <w:sz w:val="19"/>
        <w:szCs w:val="19"/>
        <w:lang w:val="en-US" w:eastAsia="en-US" w:bidi="en-US"/>
      </w:rPr>
    </w:lvl>
    <w:lvl w:ilvl="3">
      <w:numFmt w:val="bullet"/>
      <w:lvlText w:val="•"/>
      <w:lvlJc w:val="left"/>
      <w:pPr>
        <w:ind w:left="520" w:hanging="428"/>
      </w:pPr>
      <w:rPr>
        <w:rFonts w:hint="default"/>
        <w:lang w:val="en-US" w:eastAsia="en-US" w:bidi="en-US"/>
      </w:rPr>
    </w:lvl>
    <w:lvl w:ilvl="4">
      <w:numFmt w:val="bullet"/>
      <w:lvlText w:val="•"/>
      <w:lvlJc w:val="left"/>
      <w:pPr>
        <w:ind w:left="580" w:hanging="428"/>
      </w:pPr>
      <w:rPr>
        <w:rFonts w:hint="default"/>
        <w:lang w:val="en-US" w:eastAsia="en-US" w:bidi="en-US"/>
      </w:rPr>
    </w:lvl>
    <w:lvl w:ilvl="5">
      <w:numFmt w:val="bullet"/>
      <w:lvlText w:val="•"/>
      <w:lvlJc w:val="left"/>
      <w:pPr>
        <w:ind w:left="740" w:hanging="428"/>
      </w:pPr>
      <w:rPr>
        <w:rFonts w:hint="default"/>
        <w:lang w:val="en-US" w:eastAsia="en-US" w:bidi="en-US"/>
      </w:rPr>
    </w:lvl>
    <w:lvl w:ilvl="6">
      <w:numFmt w:val="bullet"/>
      <w:lvlText w:val="•"/>
      <w:lvlJc w:val="left"/>
      <w:pPr>
        <w:ind w:left="1000" w:hanging="428"/>
      </w:pPr>
      <w:rPr>
        <w:rFonts w:hint="default"/>
        <w:lang w:val="en-US" w:eastAsia="en-US" w:bidi="en-US"/>
      </w:rPr>
    </w:lvl>
    <w:lvl w:ilvl="7">
      <w:numFmt w:val="bullet"/>
      <w:lvlText w:val="•"/>
      <w:lvlJc w:val="left"/>
      <w:pPr>
        <w:ind w:left="714" w:hanging="428"/>
      </w:pPr>
      <w:rPr>
        <w:rFonts w:hint="default"/>
        <w:lang w:val="en-US" w:eastAsia="en-US" w:bidi="en-US"/>
      </w:rPr>
    </w:lvl>
    <w:lvl w:ilvl="8">
      <w:numFmt w:val="bullet"/>
      <w:lvlText w:val="•"/>
      <w:lvlJc w:val="left"/>
      <w:pPr>
        <w:ind w:left="429" w:hanging="428"/>
      </w:pPr>
      <w:rPr>
        <w:rFonts w:hint="default"/>
        <w:lang w:val="en-US" w:eastAsia="en-US" w:bidi="en-US"/>
      </w:rPr>
    </w:lvl>
  </w:abstractNum>
  <w:abstractNum w:abstractNumId="1" w15:restartNumberingAfterBreak="0">
    <w:nsid w:val="47DF0152"/>
    <w:multiLevelType w:val="hybridMultilevel"/>
    <w:tmpl w:val="B85657F0"/>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56F457D"/>
    <w:multiLevelType w:val="hybridMultilevel"/>
    <w:tmpl w:val="D00C1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5DD68EC"/>
    <w:multiLevelType w:val="multilevel"/>
    <w:tmpl w:val="D326D6EE"/>
    <w:lvl w:ilvl="0">
      <w:start w:val="2"/>
      <w:numFmt w:val="decimal"/>
      <w:lvlText w:val="%1"/>
      <w:lvlJc w:val="left"/>
      <w:pPr>
        <w:ind w:left="241" w:hanging="468"/>
      </w:pPr>
      <w:rPr>
        <w:rFonts w:hint="default"/>
        <w:lang w:val="en-US" w:eastAsia="en-US" w:bidi="en-US"/>
      </w:rPr>
    </w:lvl>
    <w:lvl w:ilvl="1">
      <w:start w:val="3"/>
      <w:numFmt w:val="decimal"/>
      <w:lvlText w:val="%1.%2"/>
      <w:lvlJc w:val="left"/>
      <w:pPr>
        <w:ind w:left="241" w:hanging="468"/>
      </w:pPr>
      <w:rPr>
        <w:rFonts w:hint="default"/>
        <w:lang w:val="en-US" w:eastAsia="en-US" w:bidi="en-US"/>
      </w:rPr>
    </w:lvl>
    <w:lvl w:ilvl="2">
      <w:start w:val="1"/>
      <w:numFmt w:val="decimal"/>
      <w:lvlText w:val="%1.%2.%3"/>
      <w:lvlJc w:val="left"/>
      <w:pPr>
        <w:ind w:left="241" w:hanging="468"/>
        <w:jc w:val="right"/>
      </w:pPr>
      <w:rPr>
        <w:rFonts w:ascii="Times New Roman" w:eastAsia="Times New Roman" w:hAnsi="Times New Roman" w:cs="Times New Roman" w:hint="default"/>
        <w:b/>
        <w:bCs/>
        <w:color w:val="231F20"/>
        <w:spacing w:val="-15"/>
        <w:w w:val="100"/>
        <w:sz w:val="19"/>
        <w:szCs w:val="19"/>
        <w:lang w:val="en-US" w:eastAsia="en-US" w:bidi="en-US"/>
      </w:rPr>
    </w:lvl>
    <w:lvl w:ilvl="3">
      <w:numFmt w:val="bullet"/>
      <w:lvlText w:val="•"/>
      <w:lvlJc w:val="left"/>
      <w:pPr>
        <w:ind w:left="1679" w:hanging="468"/>
      </w:pPr>
      <w:rPr>
        <w:rFonts w:hint="default"/>
        <w:lang w:val="en-US" w:eastAsia="en-US" w:bidi="en-US"/>
      </w:rPr>
    </w:lvl>
    <w:lvl w:ilvl="4">
      <w:numFmt w:val="bullet"/>
      <w:lvlText w:val="•"/>
      <w:lvlJc w:val="left"/>
      <w:pPr>
        <w:ind w:left="2159" w:hanging="468"/>
      </w:pPr>
      <w:rPr>
        <w:rFonts w:hint="default"/>
        <w:lang w:val="en-US" w:eastAsia="en-US" w:bidi="en-US"/>
      </w:rPr>
    </w:lvl>
    <w:lvl w:ilvl="5">
      <w:numFmt w:val="bullet"/>
      <w:lvlText w:val="•"/>
      <w:lvlJc w:val="left"/>
      <w:pPr>
        <w:ind w:left="2639" w:hanging="468"/>
      </w:pPr>
      <w:rPr>
        <w:rFonts w:hint="default"/>
        <w:lang w:val="en-US" w:eastAsia="en-US" w:bidi="en-US"/>
      </w:rPr>
    </w:lvl>
    <w:lvl w:ilvl="6">
      <w:numFmt w:val="bullet"/>
      <w:lvlText w:val="•"/>
      <w:lvlJc w:val="left"/>
      <w:pPr>
        <w:ind w:left="3119" w:hanging="468"/>
      </w:pPr>
      <w:rPr>
        <w:rFonts w:hint="default"/>
        <w:lang w:val="en-US" w:eastAsia="en-US" w:bidi="en-US"/>
      </w:rPr>
    </w:lvl>
    <w:lvl w:ilvl="7">
      <w:numFmt w:val="bullet"/>
      <w:lvlText w:val="•"/>
      <w:lvlJc w:val="left"/>
      <w:pPr>
        <w:ind w:left="3599" w:hanging="468"/>
      </w:pPr>
      <w:rPr>
        <w:rFonts w:hint="default"/>
        <w:lang w:val="en-US" w:eastAsia="en-US" w:bidi="en-US"/>
      </w:rPr>
    </w:lvl>
    <w:lvl w:ilvl="8">
      <w:numFmt w:val="bullet"/>
      <w:lvlText w:val="•"/>
      <w:lvlJc w:val="left"/>
      <w:pPr>
        <w:ind w:left="4079" w:hanging="468"/>
      </w:pPr>
      <w:rPr>
        <w:rFonts w:hint="default"/>
        <w:lang w:val="en-US" w:eastAsia="en-US" w:bidi="en-U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4D3"/>
    <w:rsid w:val="000477FF"/>
    <w:rsid w:val="000567B0"/>
    <w:rsid w:val="000C4DC2"/>
    <w:rsid w:val="000D60FA"/>
    <w:rsid w:val="001532B1"/>
    <w:rsid w:val="001C0BF3"/>
    <w:rsid w:val="00213E2B"/>
    <w:rsid w:val="002424B5"/>
    <w:rsid w:val="003E34D3"/>
    <w:rsid w:val="004007A7"/>
    <w:rsid w:val="004E2474"/>
    <w:rsid w:val="004E4363"/>
    <w:rsid w:val="00544367"/>
    <w:rsid w:val="00601DCA"/>
    <w:rsid w:val="00643BF9"/>
    <w:rsid w:val="00695DF7"/>
    <w:rsid w:val="0071126E"/>
    <w:rsid w:val="00712C88"/>
    <w:rsid w:val="00773095"/>
    <w:rsid w:val="00774DD5"/>
    <w:rsid w:val="00790BFC"/>
    <w:rsid w:val="008175DD"/>
    <w:rsid w:val="008208B6"/>
    <w:rsid w:val="00823DDA"/>
    <w:rsid w:val="00827F95"/>
    <w:rsid w:val="00891971"/>
    <w:rsid w:val="008C78A0"/>
    <w:rsid w:val="008D582D"/>
    <w:rsid w:val="00905072"/>
    <w:rsid w:val="00981679"/>
    <w:rsid w:val="009C3E3C"/>
    <w:rsid w:val="009D70AE"/>
    <w:rsid w:val="00A30AB2"/>
    <w:rsid w:val="00A80DE0"/>
    <w:rsid w:val="00AD2BAB"/>
    <w:rsid w:val="00B03589"/>
    <w:rsid w:val="00BB00D9"/>
    <w:rsid w:val="00BC4DF6"/>
    <w:rsid w:val="00E5336B"/>
    <w:rsid w:val="00E858B4"/>
    <w:rsid w:val="00EA17E9"/>
    <w:rsid w:val="00EA7434"/>
    <w:rsid w:val="00EC528A"/>
    <w:rsid w:val="00EF7F20"/>
    <w:rsid w:val="00F15D61"/>
    <w:rsid w:val="00F821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E5D9C"/>
  <w15:chartTrackingRefBased/>
  <w15:docId w15:val="{7585ECB5-AC9D-434E-8440-8DB43631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34D3"/>
    <w:pPr>
      <w:widowControl w:val="0"/>
      <w:autoSpaceDE w:val="0"/>
      <w:autoSpaceDN w:val="0"/>
      <w:spacing w:after="0" w:line="240" w:lineRule="auto"/>
    </w:pPr>
    <w:rPr>
      <w:rFonts w:ascii="Times New Roman" w:eastAsia="Times New Roman" w:hAnsi="Times New Roman" w:cs="Times New Roman"/>
      <w:lang w:val="en-US" w:bidi="en-US"/>
    </w:rPr>
  </w:style>
  <w:style w:type="paragraph" w:styleId="Ttulo1">
    <w:name w:val="heading 1"/>
    <w:basedOn w:val="Normal"/>
    <w:link w:val="Ttulo1Char"/>
    <w:uiPriority w:val="1"/>
    <w:qFormat/>
    <w:rsid w:val="004E4363"/>
    <w:pPr>
      <w:spacing w:before="92"/>
      <w:ind w:left="241"/>
      <w:jc w:val="both"/>
      <w:outlineLvl w:val="0"/>
    </w:pPr>
    <w:rPr>
      <w:sz w:val="20"/>
      <w:szCs w:val="20"/>
    </w:rPr>
  </w:style>
  <w:style w:type="paragraph" w:styleId="Ttulo2">
    <w:name w:val="heading 2"/>
    <w:basedOn w:val="Normal"/>
    <w:link w:val="Ttulo2Char"/>
    <w:uiPriority w:val="1"/>
    <w:qFormat/>
    <w:rsid w:val="00F82116"/>
    <w:pPr>
      <w:spacing w:before="151"/>
      <w:ind w:left="527"/>
      <w:outlineLvl w:val="1"/>
    </w:pPr>
    <w:rPr>
      <w:b/>
      <w:bCs/>
      <w:sz w:val="19"/>
      <w:szCs w:val="1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0507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C0BF3"/>
    <w:pPr>
      <w:tabs>
        <w:tab w:val="center" w:pos="4252"/>
        <w:tab w:val="right" w:pos="8504"/>
      </w:tabs>
    </w:pPr>
  </w:style>
  <w:style w:type="character" w:customStyle="1" w:styleId="CabealhoChar">
    <w:name w:val="Cabeçalho Char"/>
    <w:basedOn w:val="Fontepargpadro"/>
    <w:link w:val="Cabealho"/>
    <w:uiPriority w:val="99"/>
    <w:rsid w:val="001C0BF3"/>
    <w:rPr>
      <w:rFonts w:ascii="Times New Roman" w:eastAsia="Times New Roman" w:hAnsi="Times New Roman" w:cs="Times New Roman"/>
      <w:lang w:val="en-US" w:bidi="en-US"/>
    </w:rPr>
  </w:style>
  <w:style w:type="paragraph" w:styleId="Rodap">
    <w:name w:val="footer"/>
    <w:basedOn w:val="Normal"/>
    <w:link w:val="RodapChar"/>
    <w:uiPriority w:val="99"/>
    <w:unhideWhenUsed/>
    <w:rsid w:val="001C0BF3"/>
    <w:pPr>
      <w:tabs>
        <w:tab w:val="center" w:pos="4252"/>
        <w:tab w:val="right" w:pos="8504"/>
      </w:tabs>
    </w:pPr>
  </w:style>
  <w:style w:type="character" w:customStyle="1" w:styleId="RodapChar">
    <w:name w:val="Rodapé Char"/>
    <w:basedOn w:val="Fontepargpadro"/>
    <w:link w:val="Rodap"/>
    <w:uiPriority w:val="99"/>
    <w:rsid w:val="001C0BF3"/>
    <w:rPr>
      <w:rFonts w:ascii="Times New Roman" w:eastAsia="Times New Roman" w:hAnsi="Times New Roman" w:cs="Times New Roman"/>
      <w:lang w:val="en-US" w:bidi="en-US"/>
    </w:rPr>
  </w:style>
  <w:style w:type="character" w:customStyle="1" w:styleId="Ttulo2Char">
    <w:name w:val="Título 2 Char"/>
    <w:basedOn w:val="Fontepargpadro"/>
    <w:link w:val="Ttulo2"/>
    <w:uiPriority w:val="1"/>
    <w:rsid w:val="00F82116"/>
    <w:rPr>
      <w:rFonts w:ascii="Times New Roman" w:eastAsia="Times New Roman" w:hAnsi="Times New Roman" w:cs="Times New Roman"/>
      <w:b/>
      <w:bCs/>
      <w:sz w:val="19"/>
      <w:szCs w:val="19"/>
      <w:lang w:val="en-US" w:bidi="en-US"/>
    </w:rPr>
  </w:style>
  <w:style w:type="paragraph" w:styleId="Corpodetexto">
    <w:name w:val="Body Text"/>
    <w:basedOn w:val="Normal"/>
    <w:link w:val="CorpodetextoChar"/>
    <w:uiPriority w:val="1"/>
    <w:qFormat/>
    <w:rsid w:val="00F82116"/>
    <w:rPr>
      <w:sz w:val="19"/>
      <w:szCs w:val="19"/>
    </w:rPr>
  </w:style>
  <w:style w:type="character" w:customStyle="1" w:styleId="CorpodetextoChar">
    <w:name w:val="Corpo de texto Char"/>
    <w:basedOn w:val="Fontepargpadro"/>
    <w:link w:val="Corpodetexto"/>
    <w:uiPriority w:val="1"/>
    <w:rsid w:val="00F82116"/>
    <w:rPr>
      <w:rFonts w:ascii="Times New Roman" w:eastAsia="Times New Roman" w:hAnsi="Times New Roman" w:cs="Times New Roman"/>
      <w:sz w:val="19"/>
      <w:szCs w:val="19"/>
      <w:lang w:val="en-US" w:bidi="en-US"/>
    </w:rPr>
  </w:style>
  <w:style w:type="paragraph" w:styleId="PargrafodaLista">
    <w:name w:val="List Paragraph"/>
    <w:basedOn w:val="Normal"/>
    <w:uiPriority w:val="1"/>
    <w:qFormat/>
    <w:rsid w:val="00F82116"/>
    <w:pPr>
      <w:spacing w:before="151"/>
      <w:ind w:left="527"/>
    </w:pPr>
  </w:style>
  <w:style w:type="table" w:customStyle="1" w:styleId="TableNormal">
    <w:name w:val="Table Normal"/>
    <w:uiPriority w:val="2"/>
    <w:semiHidden/>
    <w:unhideWhenUsed/>
    <w:qFormat/>
    <w:rsid w:val="00F821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2116"/>
    <w:pPr>
      <w:spacing w:before="8" w:line="200" w:lineRule="exact"/>
    </w:pPr>
  </w:style>
  <w:style w:type="character" w:customStyle="1" w:styleId="Ttulo1Char">
    <w:name w:val="Título 1 Char"/>
    <w:basedOn w:val="Fontepargpadro"/>
    <w:link w:val="Ttulo1"/>
    <w:uiPriority w:val="1"/>
    <w:rsid w:val="004E4363"/>
    <w:rPr>
      <w:rFonts w:ascii="Times New Roman" w:eastAsia="Times New Roman" w:hAnsi="Times New Roman" w:cs="Times New Roman"/>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0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7</Pages>
  <Words>5048</Words>
  <Characters>27261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2021-01-15T16:21:00Z</dcterms:created>
  <dcterms:modified xsi:type="dcterms:W3CDTF">2021-01-16T11:25:00Z</dcterms:modified>
</cp:coreProperties>
</file>