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aa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aa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3e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8.775510204081634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6"/>
          <w:szCs w:val="36"/>
          <w:u w:val="none"/>
          <w:shd w:fill="auto" w:val="clear"/>
          <w:vertAlign w:val="baseline"/>
          <w:rtl w:val="0"/>
        </w:rPr>
        <w:t xml:space="preserve">3. As estruturas societárias como instrumentos de organização patrimonial e sucessória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757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57500"/>
          <w:sz w:val="30"/>
          <w:szCs w:val="30"/>
          <w:u w:val="none"/>
          <w:shd w:fill="auto" w:val="clear"/>
          <w:vertAlign w:val="baseline"/>
          <w:rtl w:val="0"/>
        </w:rPr>
        <w:t xml:space="preserve">3.1.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30"/>
          <w:szCs w:val="30"/>
          <w:u w:val="none"/>
          <w:shd w:fill="auto" w:val="clear"/>
          <w:vertAlign w:val="baseline"/>
          <w:rtl w:val="0"/>
        </w:rPr>
        <w:t xml:space="preserve">Aspectos gerais e motivações fiscais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bb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bbb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46400"/>
          <w:sz w:val="24"/>
          <w:szCs w:val="24"/>
          <w:u w:val="none"/>
          <w:shd w:fill="auto" w:val="clear"/>
          <w:vertAlign w:val="baseline"/>
          <w:rtl w:val="0"/>
        </w:rPr>
        <w:t xml:space="preserve">Com a utilização de sociedades, é possível proteger o patrimônio, personalizar a sua gestão, gerar eficiência fiscal na sua exploração, planejar a sucessão, dentre outras vantagens.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4.0816326530612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66600"/>
          <w:sz w:val="24"/>
          <w:szCs w:val="24"/>
          <w:u w:val="none"/>
          <w:shd w:fill="auto" w:val="clear"/>
          <w:vertAlign w:val="baseline"/>
          <w:rtl w:val="0"/>
        </w:rPr>
        <w:t xml:space="preserve">O objetivo principal, portanto, pode ser resumido na separação, ou pelo menos afastamento, do patrimônio familiar do risco, com governança, eficiência fiscal e sucessória.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40"/>
          <w:szCs w:val="40"/>
          <w:u w:val="none"/>
          <w:shd w:fill="auto" w:val="clear"/>
          <w:vertAlign w:val="baseline"/>
          <w:rtl w:val="0"/>
        </w:rPr>
        <w:t xml:space="preserve">Quadro comparativo sobre a tributação da Pessoa Física e da Holding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858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85800"/>
          <w:sz w:val="20"/>
          <w:szCs w:val="20"/>
          <w:u w:val="none"/>
          <w:shd w:fill="auto" w:val="clear"/>
          <w:vertAlign w:val="baseline"/>
          <w:rtl w:val="0"/>
        </w:rPr>
        <w:t xml:space="preserve">Renda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22"/>
          <w:szCs w:val="22"/>
          <w:u w:val="none"/>
          <w:shd w:fill="auto" w:val="clear"/>
          <w:vertAlign w:val="baseline"/>
          <w:rtl w:val="0"/>
        </w:rPr>
        <w:t xml:space="preserve">Pessoa física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09000"/>
          <w:sz w:val="20"/>
          <w:szCs w:val="20"/>
          <w:u w:val="none"/>
          <w:shd w:fill="auto" w:val="clear"/>
          <w:vertAlign w:val="baseline"/>
          <w:rtl w:val="0"/>
        </w:rPr>
        <w:t xml:space="preserve">Holding Lucro presumido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22"/>
          <w:szCs w:val="22"/>
          <w:u w:val="none"/>
          <w:shd w:fill="auto" w:val="clear"/>
          <w:vertAlign w:val="baseline"/>
          <w:rtl w:val="0"/>
        </w:rPr>
        <w:t xml:space="preserve">Dividendo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20"/>
          <w:szCs w:val="20"/>
          <w:u w:val="none"/>
          <w:shd w:fill="auto" w:val="clear"/>
          <w:vertAlign w:val="baseline"/>
          <w:rtl w:val="0"/>
        </w:rPr>
        <w:t xml:space="preserve">Isento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08000"/>
          <w:sz w:val="20"/>
          <w:szCs w:val="20"/>
          <w:u w:val="none"/>
          <w:shd w:fill="auto" w:val="clear"/>
          <w:vertAlign w:val="baseline"/>
          <w:rtl w:val="0"/>
        </w:rPr>
        <w:t xml:space="preserve">Isento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b3b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b3b00"/>
          <w:sz w:val="22"/>
          <w:szCs w:val="22"/>
          <w:u w:val="none"/>
          <w:shd w:fill="auto" w:val="clear"/>
          <w:vertAlign w:val="baseline"/>
          <w:rtl w:val="0"/>
        </w:rPr>
        <w:t xml:space="preserve">Locação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  <w:rtl w:val="0"/>
        </w:rPr>
        <w:t xml:space="preserve">Tabela progressiva Máximo: 27,5%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2"/>
          <w:szCs w:val="22"/>
          <w:u w:val="none"/>
          <w:shd w:fill="auto" w:val="clear"/>
          <w:vertAlign w:val="baseline"/>
          <w:rtl w:val="0"/>
        </w:rPr>
        <w:t xml:space="preserve">Base: 11,33% Máximo: 14,53%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00"/>
          <w:sz w:val="22"/>
          <w:szCs w:val="22"/>
          <w:u w:val="none"/>
          <w:shd w:fill="auto" w:val="clear"/>
          <w:vertAlign w:val="baseline"/>
          <w:rtl w:val="0"/>
        </w:rPr>
        <w:t xml:space="preserve">Venda (estoque)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2"/>
          <w:szCs w:val="22"/>
          <w:u w:val="none"/>
          <w:shd w:fill="auto" w:val="clear"/>
          <w:vertAlign w:val="baseline"/>
          <w:rtl w:val="0"/>
        </w:rPr>
        <w:t xml:space="preserve">6,73%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2"/>
          <w:szCs w:val="22"/>
          <w:u w:val="none"/>
          <w:shd w:fill="auto" w:val="clear"/>
          <w:vertAlign w:val="baseline"/>
          <w:rtl w:val="0"/>
        </w:rPr>
        <w:t xml:space="preserve">a partir de 15% sobre 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68600"/>
          <w:sz w:val="26"/>
          <w:szCs w:val="26"/>
          <w:u w:val="none"/>
          <w:shd w:fill="auto" w:val="clear"/>
          <w:vertAlign w:val="baseline"/>
          <w:rtl w:val="0"/>
        </w:rPr>
        <w:t xml:space="preserve">ganho de capital (averiguar benefícios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22"/>
          <w:szCs w:val="22"/>
          <w:u w:val="none"/>
          <w:shd w:fill="auto" w:val="clear"/>
          <w:vertAlign w:val="baseline"/>
          <w:rtl w:val="0"/>
        </w:rPr>
        <w:t xml:space="preserve">fiscais)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22"/>
          <w:szCs w:val="22"/>
          <w:u w:val="none"/>
          <w:shd w:fill="auto" w:val="clear"/>
          <w:vertAlign w:val="baseline"/>
          <w:rtl w:val="0"/>
        </w:rPr>
        <w:t xml:space="preserve">Venda (imobilizado)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96900"/>
          <w:sz w:val="26"/>
          <w:szCs w:val="26"/>
          <w:u w:val="none"/>
          <w:shd w:fill="auto" w:val="clear"/>
          <w:vertAlign w:val="baseline"/>
          <w:rtl w:val="0"/>
        </w:rPr>
        <w:t xml:space="preserve">IRPJ e CSLL sobre ganho de capital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4"/>
          <w:szCs w:val="24"/>
          <w:u w:val="none"/>
          <w:shd w:fill="auto" w:val="clear"/>
          <w:vertAlign w:val="baseline"/>
          <w:rtl w:val="0"/>
        </w:rPr>
        <w:t xml:space="preserve">Máximo: 34%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22"/>
          <w:szCs w:val="22"/>
          <w:u w:val="none"/>
          <w:shd w:fill="auto" w:val="clear"/>
          <w:vertAlign w:val="baseline"/>
          <w:rtl w:val="0"/>
        </w:rPr>
        <w:t xml:space="preserve">Aplicação financeira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c00"/>
          <w:sz w:val="22"/>
          <w:szCs w:val="22"/>
          <w:u w:val="none"/>
          <w:shd w:fill="auto" w:val="clear"/>
          <w:vertAlign w:val="baseline"/>
          <w:rtl w:val="0"/>
        </w:rPr>
        <w:t xml:space="preserve">15% à 22% (depende do tipo de investimento)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98900"/>
          <w:sz w:val="18"/>
          <w:szCs w:val="18"/>
          <w:u w:val="none"/>
          <w:shd w:fill="auto" w:val="clear"/>
          <w:vertAlign w:val="baseline"/>
          <w:rtl w:val="0"/>
        </w:rPr>
        <w:t xml:space="preserve">34%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40"/>
          <w:szCs w:val="40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