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4"/>
          <w:szCs w:val="34"/>
          <w:u w:val="none"/>
          <w:shd w:fill="auto" w:val="clear"/>
          <w:vertAlign w:val="baseline"/>
          <w:rtl w:val="0"/>
        </w:rPr>
        <w:t xml:space="preserve">))))))))))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8"/>
          <w:szCs w:val="38"/>
          <w:u w:val="none"/>
          <w:shd w:fill="auto" w:val="clear"/>
          <w:vertAlign w:val="baseline"/>
          <w:rtl w:val="0"/>
        </w:rPr>
        <w:t xml:space="preserve">Conteúdo Programático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(continuação) 7.2. (continuação)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.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7.2.6. O casamento e a sucessão dos integrantes 7.2.7. Regras de proteção do patrimônio 7.2.8. Política de distribuição de resultados 7.2.9. Sigilo e confidencialidade 7.2.10. Não concorrência 7.2.11. Regras relativas à sucessão empresarial 7.2.12. Solução de conflitos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9.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A holding na prática 8.1. Estudo de caso concreto e exercício prático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4"/>
          <w:szCs w:val="34"/>
          <w:u w:val="none"/>
          <w:shd w:fill="auto" w:val="clear"/>
          <w:vertAlign w:val="baseline"/>
          <w:rtl w:val="0"/>
        </w:rPr>
        <w:t xml:space="preserve">D))))))))))))))))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8"/>
          <w:szCs w:val="38"/>
          <w:u w:val="none"/>
          <w:shd w:fill="auto" w:val="clear"/>
          <w:vertAlign w:val="baseline"/>
          <w:rtl w:val="0"/>
        </w:rPr>
        <w:t xml:space="preserve">1. A Holding Familiar: aspectos introdutórios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A vida em sociedade ganha complexidade a cada dia. Não só em razão do pluralismo de interesses e deveres, mas também pela multiplicidade das normas jurídicas aplicáveis aos mais diversos fatos sociais.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Essa característica da vida moderna eleva o nível e quantidade de riscos (jurídicos) aos quais as pessoas ficam sujeitas, impactando, direta e consequentemente, nos bens e direitos dos cidadãos.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Há ainda a chamada "inflação legislativa”, especialmente tributária. Um mesmo negócio, não planejado, pode ser lucrativo ou deficitário, como consequência da escolha do regime fiscal.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Nesse cenário, a construção e a gestão do patrimônio passa a exigir sofisticação jurídica e planejamento. Quando o tema envolve questões familiares e/ou patrimônio comum dos integrantes de uma mesma família, o projeto ganha “tempero" adicional.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 Jurídica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TODOLOGA PRATICA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