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2. As questões de direito de família envolvidas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6"/>
          <w:szCs w:val="36"/>
          <w:u w:val="none"/>
          <w:shd w:fill="auto" w:val="clear"/>
          <w:vertAlign w:val="baseline"/>
          <w:rtl w:val="0"/>
        </w:rPr>
        <w:t xml:space="preserve">2.1.2. O pacto antenupcial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2.2. A sociedade entre cônjuges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7.599999999999994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8"/>
          <w:szCs w:val="38"/>
          <w:u w:val="none"/>
          <w:shd w:fill="auto" w:val="clear"/>
          <w:vertAlign w:val="baseline"/>
          <w:rtl w:val="0"/>
        </w:rPr>
        <w:t xml:space="preserve">2. As questões de direito de família envolvidas 2013 Oregime de casamento e a hipótes: civóveis do cônjuge: efeitos diversos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3.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 regime de casamento dos integrantes e a composição da família relacionada ao Planejamento é talvez o ponto mais sensível de direito de família envolvido nos projetos de Planejamento Patrimonial e, exatamente por isso, deve ser atentamente observado.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8"/>
          <w:szCs w:val="3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  <w:rtl w:val="0"/>
        </w:rPr>
        <w:t xml:space="preserve">SETODOLOGIA PRATICA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