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29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38"/>
          <w:szCs w:val="38"/>
          <w:u w:val="none"/>
          <w:shd w:fill="auto" w:val="clear"/>
          <w:vertAlign w:val="baseline"/>
          <w:rtl w:val="0"/>
        </w:rPr>
        <w:t xml:space="preserve">4.2.8.Solução de Conflitos (continuação)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Caso os Acionistas busquem a prestação jurisdicional, será competente o juízo da Comarca da Capital do Estado de São Paulo. Da forma mais ampla permitida por lei, o procedimento arbitrale a sentença arbitral deverão ser mantidos em sigilo pelos Acionistas. Contudo, a violação desta garantia não afetará as previsões deste Acordo acerca da arbitragem e da sentença arbitral. O descumprimento deste Acordo por uma das partes não afetará a submissão deste Acordo à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294.4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as obrigações dos Acionistas sob esta cláusula arbitral são exequíveis mesmo após rescindido este Acordo. A invalidade ou inexequibilidade de qualquer disposição deste Acordo acerca da arbitragem não afetará a validade ou exequibilidade da obrigação dos Acionistas de submeter suas demandas à arbitragem vinculante, bem como outras disposições deste Acordo concernentes à arbitragem.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6"/>
          <w:szCs w:val="36"/>
          <w:u w:val="none"/>
          <w:shd w:fill="auto" w:val="clear"/>
          <w:vertAlign w:val="baseline"/>
          <w:rtl w:val="0"/>
        </w:rPr>
        <w:t xml:space="preserve">5. A transferência dos bens para a Holding Familiar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5.1.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A integralização do capital social mediante a conferência e bens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8.799999999999997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Cláusula 59. O capital social é de R$ 64.566,00 (sessenta e quatro mile quinhentos e sessenta e seis reais), dividido em 64.566 (sessenta e quatro mil e quinhentos e sessenta e seis) quotas, com valor nominal unitário de R$ 1,00 (hum real), totalmente subscrito e integralizado pelos sócios da seguinte forina: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.39999999999999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a) MARIA possui 32.283 (trinta e dois mil, duzentos e oitenta e três) quotas, no valor nominal de R$ 32.283,00 (trinta e dois mil, duzentos e oitenta e três reais) totalmente integralizados; R$ 32.283,00 (trinta e dois mil, duzentos e oitenta e três reais) com sua quota parte do imóvel a seguir descrito, o qual será transferido para a sociedade com a expressa anuência de seu marido João, já qualificado: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18"/>
          <w:szCs w:val="18"/>
          <w:u w:val="none"/>
          <w:shd w:fill="auto" w:val="clear"/>
          <w:vertAlign w:val="baseline"/>
          <w:rtl w:val="0"/>
        </w:rPr>
        <w:t xml:space="preserve">METODOLOGIA PRATICA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