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6c6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6c6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0c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0c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e4e4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e4e4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b8b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b8b00"/>
          <w:sz w:val="18"/>
          <w:szCs w:val="18"/>
          <w:u w:val="none"/>
          <w:shd w:fill="auto" w:val="clear"/>
          <w:vertAlign w:val="baseline"/>
          <w:rtl w:val="0"/>
        </w:rPr>
        <w:t xml:space="preserve">55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3d3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3d3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b4b4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4b400"/>
          <w:sz w:val="28"/>
          <w:szCs w:val="28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14.744027303754265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585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58500"/>
          <w:sz w:val="24"/>
          <w:szCs w:val="24"/>
          <w:u w:val="none"/>
          <w:shd w:fill="auto" w:val="clear"/>
          <w:vertAlign w:val="baseline"/>
          <w:rtl w:val="0"/>
        </w:rPr>
        <w:t xml:space="preserve">em que o sócio ingressante deverá aderir aos termos e disposições deste, sob pena de ser considerada nula a cessão de quotas em questão.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acac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cac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2"/>
          <w:szCs w:val="22"/>
          <w:u w:val="none"/>
          <w:shd w:fill="auto" w:val="clear"/>
          <w:vertAlign w:val="baseline"/>
          <w:rtl w:val="0"/>
        </w:rPr>
        <w:t xml:space="preserve">6.3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5c5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5c5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bdb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bdb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6"/>
          <w:szCs w:val="26"/>
          <w:u w:val="none"/>
          <w:shd w:fill="auto" w:val="clear"/>
          <w:vertAlign w:val="baseline"/>
          <w:rtl w:val="0"/>
        </w:rPr>
        <w:t xml:space="preserve">Na hipótese dos Sócios manifestarem interesse em se retirar da Sociedade, deverão comunicar tal decisão por escrito ao Sócio lo , que terá o prazo de 30 (trinta) dias para elaborar os instrumentos societários relacionados à saída dos Sócios em questão, período durante o qual o sócio retirante deverá permanecer cumprindo com as suas atribuições na Sociedade. Todos os custos legais com a elaboração e registro dos documentos relacionados ao desligamento do sócio retirante serão arcados pelo próprio sócio retirante.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6.3.1 Exercido o direito de retirada de que trata o item 6.3 acima, lo pagará ao sócio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retirante, a título de apuração de haveres, o valor contábil de sua participação, acrescido da quantia correspondente à 50% (cinquenta por cento) dos lucros acumulados correspondentes à participação do sócio retirante, não sendo devida qualquer remuneração ou valor adicional pela compra das quotas do sócio retirante.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CLÁUSULA SÉTIMA - DIREITO DE COMPRA DE QUOTAS (CALL)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4.914675767918089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 Sócios conferem, neste ato, em caráter irrevogável e irretratável, ao sócio lo o direito de Compra de parte ou da totalidade das quotas tituladas por eles no capital social da Sociedade (“Direito de Compra“), observadas as seguintes regras e condições: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7.1.1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44.232081911262796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O exercício do Direito de Compra se dará mediante o envio de notificação prévia por [.], na qual deverão constar o número de quotas a serem adquiridas, o preço, a data do pagamento e da transferência das quotas.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7.2.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14.744027303754265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Como condição de validade para o exercício do Direito de Compra acima referido. juntamente com a notificação referida no item 7.1.1 acima, [•] deverá encaminhar um balancete especialmente levantado, apurando o valor do patrimônio líquido correspondente à participação objeto do exercício ao direito de compra, valor este que, corresponderá à participação para fins do exercício do Direito de Compra.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CLÁUSULA OITAVA - VENDA CONJUNTA OBRIGATÓRIA - DRAG ALONG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8.1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Independente do direito de preferência disposto na Cláusula Décima Primeira do Contrato Social e as demais disposições do presente Acordo de Sócios, assim como o disposto na Cláusula Sétima acima, fica desde já pactuado que, durante todo o período no qual detiver pelo menos a maioria simples das quotas representativas do capital social da Sociedade, se [•] receber proposta de terceiro que deseje adquirir parte ou a totalidade das quotas representativas do capital social da Sociedade, fica facultado exclusivamente à [•]. independente do direito de preferência pactuado no Contrato Social e do Direito de Compra de Quotas previsto na Cláusula Sétima do presente Acordo de Sócios, exigir e obrigar os demais Sócios a alienarem conjuntamente parte ou a totalidade das suas respectivas quotas nas mesmas condições estabelecidas nos Termos da Oferta apresentada pelo terceiro interesado (“Transferência”), ou seja, nas mesmas condições ofertadas à [.].</w:t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J Jurídica</w:t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NASA</w:t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