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65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Parágrafo Quinto- Os poderes para comprar, vender, hipotecar, ou, por qualquer modo,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0.28571428571428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alienar ou gravar bens do ativo permanente da SOCIEDADE, deverão ser exercidos conjuntamente pelos Diretores, mediante deliberação expressa dos Sócios representando 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totalidade do Capital Social, tomada em Reunião convocada exclusivamente para essa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finalidade.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Parágrafo Sexto – A SOCIEDADE poderá nomear procurador(es), com prazo determinado.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))))))))))))))))))))))))))))))))))))))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especificando-se no instrumento de mandato os atos e operações que poderão praticar.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1.1428571428571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CLÁUSULA SÉTIMA - ADMINISTRAÇÃO DA SOCIEDADE - DELIBERAÇÕES DE QUOTISTAS: Os Sócios se reunirão obrigatoriamente, ao menos uma vez, no primeiro quadrimestre do ano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civil, para deliberação e aprovação das contas referentes ao exercício anterior, consistentes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dos demonstrativos financeiros obrigatórios, bem como do balanço patrimonial, mediante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convocação efetivada pelo Diretor Presidente para tal fim, através de telegrama endereçado ao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convo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  <w:rtl w:val="0"/>
        </w:rPr>
        <w:t xml:space="preserve">ana |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4"/>
          <w:szCs w:val="24"/>
          <w:u w:val="none"/>
          <w:shd w:fill="auto" w:val="clear"/>
          <w:vertAlign w:val="baseline"/>
          <w:rtl w:val="0"/>
        </w:rPr>
        <w:t xml:space="preserve">)))))))))))))))))))))))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0.57142857142857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domicílio dos Sócios, com 30 (trinta) dias de antecedência e especificando o dia, a hora e o local da Reunião, colocando-se, no mesmo prazo, os documentos e demonstrativos à disposição dos mesmos.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Parágrafo Primeiro: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Sempre que necessário, também se reunirão os Sócios, mediante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a convocação do Diretor Presidente, através de telegrama endereçado às residências dos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)))))))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.14285714285714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demais, com 08 (oito) dias de antecedência e especificando o dia, a hora e o local da Reunião, bem como a ordem do dia, e só sobre ela poderá haver deliberação, a menos que unanimemente os sócios acordem diferentemente.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Parágrafo Segundo: Das reuniões se lavrará ata, em livro próprio, que permanecerá na sede da SOCIEDADE, cuja cópia, autenticada pelos administradores, será levada a registro perante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a Junta Comercial no prazo de 20 (vinte) dias e as deliberações deverão ser aprovadas pelos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4"/>
          <w:szCs w:val="2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sócios representando 75% (setenta e cinco por cento) do Capital Social, correspondendo 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cada quota do Capital Social um voto, ressalvadas as matérias cujo quorum especial seja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previsto neste contrato, em Acordo de Quotistas ou na legislação aplicável.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42"/>
          <w:szCs w:val="42"/>
          <w:u w:val="none"/>
          <w:shd w:fill="auto" w:val="clear"/>
          <w:vertAlign w:val="baseline"/>
          <w:rtl w:val="0"/>
        </w:rPr>
        <w:t xml:space="preserve">I Jurídica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D)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