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Os lucros líquidos obtidos em cada exercício social terão a aplicação que lhes for determinada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pelos Sócios representando a totalidade do Capital Social, mediante deliberação em Reunião 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respeitando os ajustes celebrados neste Acordo de Quotistas.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Primeiro: Na deliberação sobre a destinação do resultado do exercício, deverão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ser distribuídos aos Sócios, no mínimo. 25% do lucro líquido (após provisão para imposto 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renda e contribuição social sobre lucro líquido), podendo a Reunião de Sócios Quotistas deliberar distribuição em percentual maior.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 Nenhum dos sócios terá direito a qualquer parcela dos lucros, até que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seja adotada deliberação expressa sobre a sua aplicação.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DISPOSIÇÕES GERAIS E TRANSITÓRIAS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CLÁUSULA DÉCIMA QUINTA: Os Sócios, por unanimidade, elegem os Administradores, pelo primeiro período de três anos, com mandato dede de 2011.) a_de de 201[•]: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Diretor Presidente: JOÃO, anteriormente qualificado: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Diretor Superintendente: XXXXX, anteriormente qualificado: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Diretor Administrativo: yyyy, anteriormente qualificado: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Primeiro: Os Sócios, por unanimidade, se obrigam a reeleger os Administradores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acima, nos cargos supra explicitados, por subsequentes mandatos de três (03) anos, enquanto vivo for o Sócio JOÃO e no gozo de suas capacidades mentais.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Segundo: Os Sócios, por unanimidade, elegem como Administrador Suplente o Sr. (nome e qualificação).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Terceiro: Em caso de falecimento ou incapacidade de JOÃO, O Diretor Superintendente assumirá as funções do Diretor Presidente, o Diretor Administrativo assumirá as funções do Diretor Superintendente e o Administrador Suplente assumirá as funções de Diretor Administrativo. Nessa hipótese, os Administradores supra referidos se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revesarão nos cargos, de modo que, no mandato subsequente, quem exercia o cargo de Diretor Superintendente será eleito Diretor Presidente; quem exercia o cargo de Diretor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GATO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