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38"/>
          <w:szCs w:val="38"/>
          <w:u w:val="none"/>
          <w:shd w:fill="auto" w:val="clear"/>
          <w:vertAlign w:val="baseline"/>
          <w:rtl w:val="0"/>
        </w:rPr>
        <w:t xml:space="preserve">6. A transferência de quotas ou ações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6.1.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Doação de quotas ou ações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Valor “histórico” vs valor atualizado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Parte legítima e parcela disponível;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Configuração da doação e a colação (informar no inventário)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 sorosan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795.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K a Slusgamine - As cláusulas restritivas: inalienabilidade, impenhorabilidade e incomunicabilidade. Regra: parcela disponível.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Sub-rogação de vínculo (exemplo do empreendimento imobiliário)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Reversão da doação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 Lei 1.810/97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pe uz 944621 Go 2011110108650-3)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28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Refriade costura credores 1.6. A transferência de quotas ou ações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6.2.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Alienação de quotas ou ações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A polêmica do valor dos bens de propriedade da sociedade - Alienação para filho sem anuência dos demais no âmbito das atividades empresariais (jurisprudência do STJ)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Usufruto e nua-propriedade de participações societárias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Usufruto sobre quotas configura modalidade de participação societária (SIMPLES)? - O Usufrutuário detém os direitos políticos sobre as quotas? - A alienação da nua-propriedade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dizer que a poule Jose nutel ou legilimo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305.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policor Auflwhenende * duela glico J Juridica o dei do Sin, aquell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Jose que pedir comercio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