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44"/>
          <w:szCs w:val="44"/>
          <w:u w:val="none"/>
          <w:shd w:fill="auto" w:val="clear"/>
          <w:vertAlign w:val="baseline"/>
          <w:rtl w:val="0"/>
        </w:rPr>
        <w:t xml:space="preserve">4.2.4. Direito de recesso ou direito de retirada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Ltda.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S.A. de capital fechado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Direito de Recesso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0.9160305343511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• Nos casos de modificação do contrato, fusão da sociedade, operação de incorporação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  <w:rtl w:val="0"/>
        </w:rPr>
        <w:t xml:space="preserve">• 30 dias subsequentes à reunião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7.9389312977099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• Nos seguintes casos: a. criação de ações preferenciais ou aumento de classe de ações preferenciais existentes, sem guardar proporção com as demais classes de ações preferenciais, salvo se já previstos ou autorizados pelo estatuto; b. alteração nas preferências, vantagens e condições de resgate ou amortização de uma ou mais classes de ações preferenciais, ou criação de nova classe mais favorecida; C. redução do dividendo obrigatório; d. fusão da companhia, ou sua incorporação em outra; e. participação em grupo de sociedades; f. mudança do objeto da companhia; g. cisão da companhia;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• Hipótese a e b: titular das ações prejudicadas;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9.9236641221374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  <w:rtl w:val="0"/>
        </w:rPr>
        <w:t xml:space="preserve">• Hipóteses:dee: inexistência de liquidez e dispersão das ações do acionista retirante;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6.4122137404580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• Hipótese g: cisão deve implicar: mudança do objeto social; redução do dividendo oobrigatório; ou participação em grupo de sociedades;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• 30 dias subsequentes à assembleia.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44"/>
          <w:szCs w:val="44"/>
          <w:u w:val="none"/>
          <w:shd w:fill="auto" w:val="clear"/>
          <w:vertAlign w:val="baseline"/>
          <w:rtl w:val="0"/>
        </w:rPr>
        <w:t xml:space="preserve">4.2.5. Exclusão de Sócio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Cláusula X. O presente Contrato Social poderá ser alterado, a qualquer tempo, para exclusão de sócio, por resolução tomada por, no mínimo, sócios detentores de quotas representativas de [•]% ([•] por cento) do capital social, não sendo computadas para tais fins as quotas do sócio a ser excluído da Sociedade.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Parágrafo Primeiro. Para os efeitos desta cláusula, constituem justa causa para exclusão de sócios: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7.48091603053435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a) violação de cláusula do presente contrato social e/ou falta de cumprimento dos deveres sociais não corrigida ou interrompida pelo sócio infrator no prazo de 10 (dez) dias após notificação da Sociedade nesse sentido; b) uso indevido da firma ou razão social; c) desarmonia ou séria divergência com os demais sócios, gerando efeitos negativos para a Sociedade;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44"/>
          <w:szCs w:val="44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