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2"/>
          <w:szCs w:val="42"/>
          <w:u w:val="none"/>
          <w:shd w:fill="auto" w:val="clear"/>
          <w:vertAlign w:val="baseline"/>
          <w:rtl w:val="0"/>
        </w:rPr>
        <w:t xml:space="preserve">4.1. Determinantes estratégias da escolha do tipo societário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Ltda.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3531598513011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Transferência de Quotas/Ações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33.828996282527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• Respeito ao Contrato Social e Acordo de Sócios, se houver;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2.416356877323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• Instrumento: Alteração Contratual que deverá ser registrada na Junta Comercial (maior burocracia e morosidade na transferência).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8"/>
          <w:szCs w:val="18"/>
          <w:u w:val="none"/>
          <w:shd w:fill="auto" w:val="clear"/>
          <w:vertAlign w:val="baseline"/>
          <w:rtl w:val="0"/>
        </w:rPr>
        <w:t xml:space="preserve">S.A. de capital fechado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• Respeito ao Direito de preferência;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7.7695167286245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• Respeito ao Estatuto Social e ao Acordo de Acionistas, se houver;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9.888475836431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• Instrumento: Livro de Transferência de Ações e livro de Registro de Ações (maior rapidez e facilidade na transferência).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9.888475836431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• Os lucros devem ser distribuidos sempre proporcionalmente à participação societária de cada acionista.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Distribuição de Lucros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39.18215613382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• Possibilidade de distribuição de lucros de forma desigual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Constituição entre cônjuges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1.710037174721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• Vedada entre cônjuges casados no regime de comunhão universal de bns ou no de separação obrigatória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Sem restrição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8"/>
          <w:szCs w:val="38"/>
          <w:u w:val="none"/>
          <w:shd w:fill="auto" w:val="clear"/>
          <w:vertAlign w:val="baseline"/>
          <w:rtl w:val="0"/>
        </w:rPr>
        <w:t xml:space="preserve">* It do - Gode ter surely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42"/>
          <w:szCs w:val="42"/>
          <w:u w:val="none"/>
          <w:shd w:fill="auto" w:val="clear"/>
          <w:vertAlign w:val="baseline"/>
          <w:rtl w:val="0"/>
        </w:rPr>
        <w:t xml:space="preserve">|4.1. Determinantes estratégias da escolha do tipo societário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3531598513011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4.1.4. EIRELI (natureza simples e empresária) Previsão legal: Código Civil (artigo 980-A)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4.1.5. Outras espécies de organizações jurídicas. Apontamentos gerais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Sociedades não personificadas: (i) SCP; e, (ii) sociedade em comum (irregulares).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Fundos de Investimento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2.11895910780669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O fundo de investimento é uma comunhão de recursos, constituída sob a forma de condominio, destinado à aplicação em ativos financeiros, nos termos da legislação.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.05947955390334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No Brasil, os fundos de investimento se sujeitam as regras editadas pela Comissão de Valores Mobiliários, autarquia na qual os fundos devem ser registrados.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2"/>
          <w:szCs w:val="42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