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6"/>
          <w:szCs w:val="36"/>
          <w:u w:val="none"/>
          <w:shd w:fill="auto" w:val="clear"/>
          <w:vertAlign w:val="baseline"/>
          <w:rtl w:val="0"/>
        </w:rPr>
        <w:t xml:space="preserve">1. A Holding Familiar: aspectos introdutórios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Uma das formas de promover a construção e gestão de bens e direitos de uma família ou núcleo familiar de forma planejada e coordenada se dá através da utilização de tipos jurídicos, notadamente os tipos jurídicos societários, ou, como pretendemos abordar neste curso, por meio da Holding Familiar.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  <w:rtl w:val="0"/>
        </w:rPr>
        <w:t xml:space="preserve">that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18"/>
          <w:szCs w:val="18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18"/>
          <w:szCs w:val="18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  <w:rtl w:val="0"/>
        </w:rPr>
        <w:t xml:space="preserve">2. As questões de direito de família envolvidas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8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O casamento, a capacidade civil, a solvência e todos os demais aspectos pessoais e de direito de familia ligados aos envolvidos geram reflexos diretos, e muitas vezes imediatos, na estrutura, viabilidade e integridade da Holding Familiar.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O tema é complexo e para a sua solução não há formula secreta. É preciso refletir e analisar sobre todos os assuntos envolvidos, como por exemplo: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8.4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O regime de casamento dos envolvidos, potencial configuração de união estável, os reflexos patrimoniais do divórcio, incapacidade civil de algum integrante, existência de testamento, o falecimento etc.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A união civil (regime) dos titulares dos bens e a composição da família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