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8.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 – Os aumentos do capital social poderão ser integralizados na forma, modo, condições e prazos conforme deliberação dos sócios.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CAPÍTULO IV – DA ADMINISTRAÇÃO SOCIAL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Cláusula Sétima – A administração da Sociedade será exercida pelo Sr. l•l. doravante designado genericamente “Administrador” ou “Diretor". Os Administradores estão dispensados de prestar caução em garantia a sua gestão e, por prazo indeterminado, terão o poder para praticar os atos necessários ou convenientes à administração da Sociedade, inclusive: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 representação ativa e passiva da Sociedade, em juízo ou fora dele. inclusive 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representação perante qualquer repartição federal, estadual ou municipal e autarquias; 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 administração, orientação e direção dos negócios sociais.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3.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 - É expressamente vedado o uso da denominação social em atos ou documentos estranhos ao objeto social, em especial a concessão de garantias em favor de terceiros, que não as necessárias à consecução do objeto social, ressalvada a possibilidade de concessão de garantias às sociedades coligadas, controladas, controladoras ou quaisquer sociedades em que os sócios desta Sociedade tenham participação direta no capital social.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 – Os Diretores terão direito a um "pro labore”, nos termos e valores deliberados pelo sócios.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Oitava - A Sociedade só se vinculará mediante a assinatura: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Mediante a assinatura do Diretor;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comediante a assinatura de 01 (um) procurador, agindo dentro dos limites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estabelecidos no respectivo instrumento de mandato.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3.6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- As procurações em nome da Sociedade serão sempre outorgadas por escrito pelo Diretor, assim como estabelecerão os poderes dos respectivos procuradores e, excetuando-se as procurações outorgadas para fins judiciais, seus prazos de duração não poderão exceder 01 (um) ano.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CAPÍTULO V - DAS DELIBERAÇÕES SOCIAIS E REUNIÕES DE SÓCIOS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8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Nona - As deliberações sociais serão tomadas sempre por votos representando, no mínimo, 75% (setenta e cinco por cento) do capital social, com exceção das matérias reguladas por lei ou pelo presente Contrato Social que eigirem quorum mais elevado.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39999999999999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Único. As matérias abaixo listadas, para fins de implementação pela administração da Sociedade, dependerão do voto afirmtivo representando, no mínimo, 75% (setenta e cinco por cento) do capital social da Sociedade: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