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Parágrafo Terceiro: Qualquer Sócio poderá ser representado por procurador, sendo então considerado presente à Reunião, desde que este seja sócio ou advogado, e, se pessoa jurídica.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por seu representante legal ou procurador, ao qual será obrigatoriamente outorgado mandato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com os poderes específicos para tal ato, que deverá ser arquivado juntamente com a ata.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perante a Junta Comercial.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Parágrafo Quarto: As convocações para as reuniões de sócios deverão ser feitas na forma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do caput ou do Parágrafo Primeiro, conforme o caso, mas poderão ser dispensadas se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estiverem presentes os Sócios representando a totalidade do Capital Social, sendo que para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4.477611940298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que as reuniões possam se instalar, é necessária a presença de Sócios que representem a maioria votante do Capital Social.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1.49253731343283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Parágrafo Quinto: As reuniões dos sócios serão presididas e secretariadas pelo Diretor Presidente, que designará o secretário dos trabalhos, de sua livre escolha. Os Sócios terão a obrigação de respeitar e dar validade às deliberações tomadas em atenção ao Contrato Social e nos termos das vinculações previstas neste Acordo de Quotistas.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Parágrafo Sexto: Para a aprovação das seguintes matérias serão necessários os votos favoráveis de Sócios representando 85% (oitenta e cinco por cento) das quotas do capital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social: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a) modificação deste Contrato Social, inclusive aumento de capital social com subscrição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em dinheiro, crédito ou bens, fusão, cisão da SOCIEDADE, alteração do objeto social,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incorporação de outra, ou dela por outra, ingresso em grupo de sociedades, ou dissolução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ou liquidação da SOCIEDADE: b) alienação ou oneração de bens de ativo permanente da SOCIEDADE, especialmente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as quotas de capital nas empresas de que participa SOCIEDADE;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c) aquisição, a qualquer título, de bens que não sejam relacionados com o objeto social: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contratação de consórcios de sociedades ou “joint ventures”;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constituição de obrigações, empréstimos, garantias acima de R$500.000,00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(quinhentos mil reais), reajustados, a partir da presente data, pela variação do IGP/M,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95.522388059701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medido pela Fundação Getúlio Vargas; f) definição do voto da SOCIEDADE nas deliberações das sociedades das quais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participe, bem como das estratégias a serem adotadas nas mesmas; g) distribuição de lucros, juros sobre o capital próprio e dividendos;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  <w:rtl w:val="0"/>
        </w:rPr>
        <w:t xml:space="preserve">SAS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42"/>
          <w:szCs w:val="42"/>
          <w:u w:val="none"/>
          <w:shd w:fill="auto" w:val="clear"/>
          <w:vertAlign w:val="baseline"/>
          <w:rtl w:val="0"/>
        </w:rPr>
        <w:t xml:space="preserve">I Jurídica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3234282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