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36"/>
          <w:szCs w:val="36"/>
          <w:u w:val="none"/>
          <w:shd w:fill="auto" w:val="clear"/>
          <w:vertAlign w:val="baseline"/>
          <w:rtl w:val="0"/>
        </w:rPr>
        <w:t xml:space="preserve">1. A Holding Familiar: aspectos introdutórios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8"/>
          <w:szCs w:val="28"/>
          <w:u w:val="none"/>
          <w:shd w:fill="auto" w:val="clear"/>
          <w:vertAlign w:val="baseline"/>
          <w:rtl w:val="0"/>
        </w:rPr>
        <w:t xml:space="preserve">Uma das formas de promover a construção e gestão de bens e direitos de uma família ou núcleo familiar de forma planejada e coordenada se dá através da utilização de tipos jurídicos, notadamente os tipos jurídicos societários, ou, como pretendemos abordar neste curso, por meio da Holding Familiar.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767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76700"/>
          <w:sz w:val="38"/>
          <w:szCs w:val="38"/>
          <w:u w:val="none"/>
          <w:shd w:fill="auto" w:val="clear"/>
          <w:vertAlign w:val="baseline"/>
          <w:rtl w:val="0"/>
        </w:rPr>
        <w:t xml:space="preserve">that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ded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ede00"/>
          <w:sz w:val="18"/>
          <w:szCs w:val="18"/>
          <w:u w:val="none"/>
          <w:shd w:fill="auto" w:val="clear"/>
          <w:vertAlign w:val="baseline"/>
          <w:rtl w:val="0"/>
        </w:rPr>
        <w:t xml:space="preserve">***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ac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aca00"/>
          <w:sz w:val="18"/>
          <w:szCs w:val="18"/>
          <w:u w:val="none"/>
          <w:shd w:fill="auto" w:val="clear"/>
          <w:vertAlign w:val="baseline"/>
          <w:rtl w:val="0"/>
        </w:rPr>
        <w:t xml:space="preserve">*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7f7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7f700"/>
          <w:sz w:val="38"/>
          <w:szCs w:val="38"/>
          <w:u w:val="none"/>
          <w:shd w:fill="auto" w:val="clear"/>
          <w:vertAlign w:val="baseline"/>
          <w:rtl w:val="0"/>
        </w:rPr>
        <w:t xml:space="preserve">2. As questões de direito de família envolvidas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8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22"/>
          <w:szCs w:val="22"/>
          <w:u w:val="none"/>
          <w:shd w:fill="auto" w:val="clear"/>
          <w:vertAlign w:val="baseline"/>
          <w:rtl w:val="0"/>
        </w:rPr>
        <w:t xml:space="preserve">O casamento, a capacidade civil, a solvência e todos os demais aspectos pessoais e de direito de familia ligados aos envolvidos geram reflexos diretos, e muitas vezes imediatos, na estrutura, viabilidade e integridade da Holding Familiar.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8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b8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b8b00"/>
          <w:sz w:val="28"/>
          <w:szCs w:val="28"/>
          <w:u w:val="none"/>
          <w:shd w:fill="auto" w:val="clear"/>
          <w:vertAlign w:val="baseline"/>
          <w:rtl w:val="0"/>
        </w:rPr>
        <w:t xml:space="preserve">O tema é complexo e para a sua solução não há formula secreta. É preciso refletir e analisar sobre todos os assuntos envolvidos, como por exemplo: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8.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8"/>
          <w:szCs w:val="28"/>
          <w:u w:val="none"/>
          <w:shd w:fill="auto" w:val="clear"/>
          <w:vertAlign w:val="baseline"/>
          <w:rtl w:val="0"/>
        </w:rPr>
        <w:t xml:space="preserve">O regime de casamento dos envolvidos, potencial configuração de união estável, os reflexos patrimoniais do divórcio, incapacidade civil de algum integrante, existência de testamento, o falecimento etc.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2"/>
          <w:szCs w:val="22"/>
          <w:u w:val="none"/>
          <w:shd w:fill="auto" w:val="clear"/>
          <w:vertAlign w:val="baseline"/>
          <w:rtl w:val="0"/>
        </w:rPr>
        <w:t xml:space="preserve">1.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22"/>
          <w:szCs w:val="22"/>
          <w:u w:val="none"/>
          <w:shd w:fill="auto" w:val="clear"/>
          <w:vertAlign w:val="baseline"/>
          <w:rtl w:val="0"/>
        </w:rPr>
        <w:t xml:space="preserve">A união civil (regime) dos titulares dos bens e a composição da família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