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4"/>
          <w:szCs w:val="34"/>
          <w:u w:val="none"/>
          <w:shd w:fill="auto" w:val="clear"/>
          <w:vertAlign w:val="baseline"/>
          <w:rtl w:val="0"/>
        </w:rPr>
        <w:t xml:space="preserve">))))))))))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  <w:rtl w:val="0"/>
        </w:rPr>
        <w:t xml:space="preserve">Conteúdo Programático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(continuação) 7.2. (continuação)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7.2.6. O casamento e a sucessão dos integrantes 7.2.7. Regras de proteção do patrimônio 7.2.8. Política de distribuição de resultados 7.2.9. Sigilo e confidencialidade 7.2.10. Não concorrência 7.2.11. Regras relativas à sucessão empresarial 7.2.12. Solução de conflitos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A holding na prática 8.1. Estudo de caso concreto e exercício prático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4"/>
          <w:szCs w:val="34"/>
          <w:u w:val="none"/>
          <w:shd w:fill="auto" w:val="clear"/>
          <w:vertAlign w:val="baseline"/>
          <w:rtl w:val="0"/>
        </w:rPr>
        <w:t xml:space="preserve">D))))))))))))))))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  <w:rtl w:val="0"/>
        </w:rPr>
        <w:t xml:space="preserve">1. A Holding Familiar: aspectos introdutórios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A vida em sociedade ganha complexidade a cada dia. Não só em razão do pluralismo de interesses e deveres, mas também pela multiplicidade das normas jurídicas aplicáveis aos mais diversos fatos sociais.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2"/>
          <w:szCs w:val="22"/>
          <w:u w:val="none"/>
          <w:shd w:fill="auto" w:val="clear"/>
          <w:vertAlign w:val="baseline"/>
          <w:rtl w:val="0"/>
        </w:rPr>
        <w:t xml:space="preserve">Essa característica da vida moderna eleva o nível e quantidade de riscos (jurídicos) aos quais as pessoas ficam sujeitas, impactando, direta e consequentemente, nos bens e direitos dos cidadãos.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Há ainda a chamada "inflação legislativa”, especialmente tributária. Um mesmo negócio, não planejado, pode ser lucrativo ou deficitário, como consequência da escolha do regime fiscal.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Nesse cenário, a construção e a gestão do patrimônio passa a exigir sofisticação jurídica e planejamento. Quando o tema envolve questões familiares e/ou patrimônio comum dos integrantes de uma mesma família, o projeto ganha “tempero" adicional.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TODOLOGA PRATICA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