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bfb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bfb00"/>
          <w:sz w:val="38"/>
          <w:szCs w:val="38"/>
          <w:u w:val="none"/>
          <w:shd w:fill="auto" w:val="clear"/>
          <w:vertAlign w:val="baseline"/>
          <w:rtl w:val="0"/>
        </w:rPr>
        <w:t xml:space="preserve">HOLDING FAMILIAR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3f3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3f300"/>
          <w:sz w:val="24"/>
          <w:szCs w:val="24"/>
          <w:u w:val="none"/>
          <w:shd w:fill="auto" w:val="clear"/>
          <w:vertAlign w:val="baseline"/>
          <w:rtl w:val="0"/>
        </w:rPr>
        <w:t xml:space="preserve">ESTRUTURA JURÍDICO-SOCIETÁRIA E ASPECTOS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8f8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8f800"/>
          <w:sz w:val="24"/>
          <w:szCs w:val="24"/>
          <w:u w:val="none"/>
          <w:shd w:fill="auto" w:val="clear"/>
          <w:vertAlign w:val="baseline"/>
          <w:rtl w:val="0"/>
        </w:rPr>
        <w:t xml:space="preserve">PATRIMONIAIS E SUCESSÓRIOS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2"/>
          <w:szCs w:val="32"/>
          <w:u w:val="none"/>
          <w:shd w:fill="auto" w:val="clear"/>
          <w:vertAlign w:val="baseline"/>
          <w:rtl w:val="0"/>
        </w:rPr>
        <w:t xml:space="preserve">))))))))))))))))))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f5f5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f5f500"/>
          <w:sz w:val="22"/>
          <w:szCs w:val="22"/>
          <w:u w:val="none"/>
          <w:shd w:fill="auto" w:val="clear"/>
          <w:vertAlign w:val="baseline"/>
          <w:rtl w:val="0"/>
        </w:rPr>
        <w:t xml:space="preserve">“Estar preparado é metade da vitória."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ecec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ecec00"/>
          <w:sz w:val="24"/>
          <w:szCs w:val="24"/>
          <w:u w:val="none"/>
          <w:shd w:fill="auto" w:val="clear"/>
          <w:vertAlign w:val="baseline"/>
          <w:rtl w:val="0"/>
        </w:rPr>
        <w:t xml:space="preserve">- Miguel de Cervantes Saavedra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8f8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00"/>
          <w:sz w:val="38"/>
          <w:szCs w:val="38"/>
          <w:u w:val="none"/>
          <w:shd w:fill="auto" w:val="clear"/>
          <w:vertAlign w:val="baseline"/>
          <w:rtl w:val="0"/>
        </w:rPr>
        <w:t xml:space="preserve">APRESENTAÇÃO DO CURSO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2"/>
          <w:szCs w:val="32"/>
          <w:u w:val="none"/>
          <w:shd w:fill="auto" w:val="clear"/>
          <w:vertAlign w:val="baseline"/>
          <w:rtl w:val="0"/>
        </w:rPr>
        <w:t xml:space="preserve">)))))))))))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30"/>
          <w:szCs w:val="30"/>
          <w:u w:val="none"/>
          <w:shd w:fill="auto" w:val="clear"/>
          <w:vertAlign w:val="baseline"/>
          <w:rtl w:val="0"/>
        </w:rPr>
        <w:t xml:space="preserve">Neste curso iremos realizar abordagem sobre os aspectos teóricos 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64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28"/>
          <w:szCs w:val="28"/>
          <w:u w:val="none"/>
          <w:shd w:fill="auto" w:val="clear"/>
          <w:vertAlign w:val="baseline"/>
          <w:rtl w:val="0"/>
        </w:rPr>
        <w:t xml:space="preserve">áticos da chamada Holding Familiar, considerando as implicações sucessórias e tributárias envolvidas. O programa do curso abrange a análise patrimonial; a formulação de estratégias na escolha do tipo societário; regras de governança; correlações familiares e sucessórias. Para o alcance da finalidade do curso, as aulas serão ministradas com discussões a partir de casos concretos, permitindo o exame e debate crítico. Além da análise da doutrina jurídica e da jurisprudência, serão examinados modelos de negócios jurídicos utilizados no âmbito da organização da Holding Familiar.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909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909000"/>
          <w:sz w:val="18"/>
          <w:szCs w:val="18"/>
          <w:u w:val="none"/>
          <w:shd w:fill="auto" w:val="clear"/>
          <w:vertAlign w:val="baseline"/>
          <w:rtl w:val="0"/>
        </w:rPr>
        <w:t xml:space="preserve">ASSASSISESE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4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30"/>
          <w:szCs w:val="30"/>
          <w:u w:val="none"/>
          <w:shd w:fill="auto" w:val="clear"/>
          <w:vertAlign w:val="baseline"/>
          <w:rtl w:val="0"/>
        </w:rPr>
        <w:t xml:space="preserve">Dado o viés do curso, a ideia é explorar os aspectos relacionados à prática da realização de organizações societárias e negociações dos documentos envolvidos nesse tipo de projeto. Nosso objetivo principal, portanto, não são as vertentes teóricas e propedêuticas dos institutos jurídicos analisados.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32"/>
          <w:szCs w:val="32"/>
          <w:u w:val="none"/>
          <w:shd w:fill="auto" w:val="clear"/>
          <w:vertAlign w:val="baseline"/>
          <w:rtl w:val="0"/>
        </w:rPr>
        <w:t xml:space="preserve">)))))))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6b6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6b600"/>
          <w:sz w:val="38"/>
          <w:szCs w:val="38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18"/>
          <w:szCs w:val="18"/>
          <w:u w:val="none"/>
          <w:shd w:fill="auto" w:val="clear"/>
          <w:vertAlign w:val="baseline"/>
          <w:rtl w:val="0"/>
        </w:rPr>
        <w:t xml:space="preserve">METODOLOGIA PRATICA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32"/>
          <w:szCs w:val="32"/>
          <w:u w:val="none"/>
          <w:shd w:fill="auto" w:val="clear"/>
          <w:vertAlign w:val="baseline"/>
          <w:rtl w:val="0"/>
        </w:rPr>
        <w:t xml:space="preserve">2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