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29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38"/>
          <w:szCs w:val="38"/>
          <w:u w:val="none"/>
          <w:shd w:fill="auto" w:val="clear"/>
          <w:vertAlign w:val="baseline"/>
          <w:rtl w:val="0"/>
        </w:rPr>
        <w:t xml:space="preserve">4.2.8.Solução de Conflitos (continuação)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6"/>
          <w:szCs w:val="26"/>
          <w:u w:val="none"/>
          <w:shd w:fill="auto" w:val="clear"/>
          <w:vertAlign w:val="baseline"/>
          <w:rtl w:val="0"/>
        </w:rPr>
        <w:t xml:space="preserve">Caso os Acionistas busquem a prestação jurisdicional, será competente o juízo da Comarca da Capital do Estado de São Paulo. Da forma mais ampla permitida por lei, o procedimento arbitrale a sentença arbitral deverão ser mantidos em sigilo pelos Acionistas. Contudo, a violação desta garantia não afetará as previsões deste Acordo acerca da arbitragem e da sentença arbitral. O descumprimento deste Acordo por uma das partes não afetará a submissão deste Acordo à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294.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  <w:rtl w:val="0"/>
        </w:rPr>
        <w:t xml:space="preserve">as obrigações dos Acionistas sob esta cláusula arbitral são exequíveis mesmo após rescindido este Acordo. A invalidade ou inexequibilidade de qualquer disposição deste Acordo acerca da arbitragem não afetará a validade ou exequibilidade da obrigação dos Acionistas de submeter suas demandas à arbitragem vinculante, bem como outras disposições deste Acordo concernentes à arbitragem.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6"/>
          <w:szCs w:val="36"/>
          <w:u w:val="none"/>
          <w:shd w:fill="auto" w:val="clear"/>
          <w:vertAlign w:val="baseline"/>
          <w:rtl w:val="0"/>
        </w:rPr>
        <w:t xml:space="preserve">5. A transferência dos bens para a Holding Familiar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1f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1f100"/>
          <w:sz w:val="28"/>
          <w:szCs w:val="28"/>
          <w:u w:val="none"/>
          <w:shd w:fill="auto" w:val="clear"/>
          <w:vertAlign w:val="baseline"/>
          <w:rtl w:val="0"/>
        </w:rPr>
        <w:t xml:space="preserve">5.1.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8"/>
          <w:szCs w:val="28"/>
          <w:u w:val="none"/>
          <w:shd w:fill="auto" w:val="clear"/>
          <w:vertAlign w:val="baseline"/>
          <w:rtl w:val="0"/>
        </w:rPr>
        <w:t xml:space="preserve">A integralização do capital social mediante a conferência e bens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8.79999999999999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  <w:rtl w:val="0"/>
        </w:rPr>
        <w:t xml:space="preserve">Cláusula 59. O capital social é de R$ 64.566,00 (sessenta e quatro mile quinhentos e sessenta e seis reais), dividido em 64.566 (sessenta e quatro mil e quinhentos e sessenta e seis) quotas, com valor nominal unitário de R$ 1,00 (hum real), totalmente subscrito e integralizado pelos sócios da seguinte forina: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2"/>
          <w:szCs w:val="22"/>
          <w:u w:val="none"/>
          <w:shd w:fill="auto" w:val="clear"/>
          <w:vertAlign w:val="baseline"/>
          <w:rtl w:val="0"/>
        </w:rPr>
        <w:t xml:space="preserve">a) MARIA possui 32.283 (trinta e dois mil, duzentos e oitenta e três) quotas, no valor nominal de R$ 32.283,00 (trinta e dois mil, duzentos e oitenta e três reais) totalmente integralizados; R$ 32.283,00 (trinta e dois mil, duzentos e oitenta e três reais) com sua quota parte do imóvel a seguir descrito, o qual será transferido para a sociedade com a expressa anuência de seu marido João, já qualificado: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18"/>
          <w:szCs w:val="18"/>
          <w:u w:val="none"/>
          <w:shd w:fill="auto" w:val="clear"/>
          <w:vertAlign w:val="baseline"/>
          <w:rtl w:val="0"/>
        </w:rPr>
        <w:t xml:space="preserve">METODOLOGIA PRATICA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