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5.63380281690141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40"/>
          <w:szCs w:val="40"/>
          <w:u w:val="none"/>
          <w:shd w:fill="auto" w:val="clear"/>
          <w:vertAlign w:val="baseline"/>
          <w:rtl w:val="0"/>
        </w:rPr>
        <w:t xml:space="preserve">3. As estruturas societárias como instrumentos de organização patrimonial e sucessória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3.2. Algumas espécies de holdings e sua classificação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O que é e para que serve uma holding familiar?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Sociedade “holding” é conhecida como a sociedade gestora de participação em outras sociedades.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No presente curso, Holding Familiar será considerada a sociedade constituída para a gestão direta dos bens e direitos de determinada família, seja para o controle e gestão de participação societária em sociedades dedicadas (i) à exploração dos negócios da família; e/ou, (ii) à exploração do patrimônio da família.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40"/>
          <w:szCs w:val="40"/>
          <w:u w:val="none"/>
          <w:shd w:fill="auto" w:val="clear"/>
          <w:vertAlign w:val="baseline"/>
          <w:rtl w:val="0"/>
        </w:rPr>
        <w:t xml:space="preserve">3.2. Algumas espécies de holding e a sua classificação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3.2.1. Holding de participações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Holding de participações é a sociedade dedicada ao controle e gestão de participação societária em outras sociedades.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Familiar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  <w:rtl w:val="0"/>
        </w:rPr>
        <w:t xml:space="preserve">Familiar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  <w:rtl w:val="0"/>
        </w:rPr>
        <w:t xml:space="preserve">Familiar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  <w:rtl w:val="0"/>
        </w:rPr>
        <w:t xml:space="preserve">Holding de Participações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Sociedade Operacional 1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Sociedade Operacional 3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  <w:rtl w:val="0"/>
        </w:rPr>
        <w:t xml:space="preserve">Sociedade Operacional 2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Pontos importantes: motivo, organização e "gatilhos” fiscais.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40"/>
          <w:szCs w:val="40"/>
          <w:u w:val="none"/>
          <w:shd w:fill="auto" w:val="clear"/>
          <w:vertAlign w:val="baseline"/>
          <w:rtl w:val="0"/>
        </w:rPr>
        <w:t xml:space="preserve">I Jurídica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18"/>
          <w:szCs w:val="18"/>
          <w:u w:val="none"/>
          <w:shd w:fill="auto" w:val="clear"/>
          <w:vertAlign w:val="baseline"/>
          <w:rtl w:val="0"/>
        </w:rPr>
        <w:t xml:space="preserve">NOTOXICIA PTICA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