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aea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aea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7e7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7e700"/>
          <w:sz w:val="34"/>
          <w:szCs w:val="34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88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88800"/>
          <w:sz w:val="18"/>
          <w:szCs w:val="18"/>
          <w:u w:val="none"/>
          <w:shd w:fill="auto" w:val="clear"/>
          <w:vertAlign w:val="baseline"/>
          <w:rtl w:val="0"/>
        </w:rPr>
        <w:t xml:space="preserve">15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34"/>
          <w:szCs w:val="34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42"/>
          <w:szCs w:val="42"/>
          <w:u w:val="none"/>
          <w:shd w:fill="auto" w:val="clear"/>
          <w:vertAlign w:val="baseline"/>
          <w:rtl w:val="0"/>
        </w:rPr>
        <w:t xml:space="preserve">Estrutura "combinada"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18"/>
          <w:szCs w:val="18"/>
          <w:u w:val="none"/>
          <w:shd w:fill="auto" w:val="clear"/>
          <w:vertAlign w:val="baseline"/>
          <w:rtl w:val="0"/>
        </w:rPr>
        <w:t xml:space="preserve">Atividade Operacional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4"/>
          <w:szCs w:val="34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18"/>
          <w:szCs w:val="18"/>
          <w:u w:val="none"/>
          <w:shd w:fill="auto" w:val="clear"/>
          <w:vertAlign w:val="baseline"/>
          <w:rtl w:val="0"/>
        </w:rPr>
        <w:t xml:space="preserve">Holding de Participações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8"/>
          <w:szCs w:val="18"/>
          <w:u w:val="none"/>
          <w:shd w:fill="auto" w:val="clear"/>
          <w:vertAlign w:val="baseline"/>
          <w:rtl w:val="0"/>
        </w:rPr>
        <w:t xml:space="preserve">Cliente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4"/>
          <w:szCs w:val="34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18"/>
          <w:szCs w:val="18"/>
          <w:u w:val="none"/>
          <w:shd w:fill="auto" w:val="clear"/>
          <w:vertAlign w:val="baseline"/>
          <w:rtl w:val="0"/>
        </w:rPr>
        <w:t xml:space="preserve">WANAWAWA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8"/>
          <w:szCs w:val="18"/>
          <w:u w:val="none"/>
          <w:shd w:fill="auto" w:val="clear"/>
          <w:vertAlign w:val="baseline"/>
          <w:rtl w:val="0"/>
        </w:rPr>
        <w:t xml:space="preserve">Holding Imobiliária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8"/>
          <w:szCs w:val="18"/>
          <w:u w:val="none"/>
          <w:shd w:fill="auto" w:val="clear"/>
          <w:vertAlign w:val="baseline"/>
          <w:rtl w:val="0"/>
        </w:rPr>
        <w:t xml:space="preserve">Holding Patrimonial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4"/>
          <w:szCs w:val="34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8"/>
          <w:szCs w:val="18"/>
          <w:u w:val="none"/>
          <w:shd w:fill="auto" w:val="clear"/>
          <w:vertAlign w:val="baseline"/>
          <w:rtl w:val="0"/>
        </w:rPr>
        <w:t xml:space="preserve">Imóvel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18"/>
          <w:szCs w:val="18"/>
          <w:u w:val="none"/>
          <w:shd w:fill="auto" w:val="clear"/>
          <w:vertAlign w:val="baseline"/>
          <w:rtl w:val="0"/>
        </w:rPr>
        <w:t xml:space="preserve">Ações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18"/>
          <w:szCs w:val="18"/>
          <w:u w:val="none"/>
          <w:shd w:fill="auto" w:val="clear"/>
          <w:vertAlign w:val="baseline"/>
          <w:rtl w:val="0"/>
        </w:rPr>
        <w:t xml:space="preserve">Aplicação financeira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4"/>
          <w:szCs w:val="34"/>
          <w:u w:val="none"/>
          <w:shd w:fill="auto" w:val="clear"/>
          <w:vertAlign w:val="baseline"/>
          <w:rtl w:val="0"/>
        </w:rPr>
        <w:t xml:space="preserve">)))))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38"/>
          <w:szCs w:val="38"/>
          <w:u w:val="none"/>
          <w:shd w:fill="auto" w:val="clear"/>
          <w:vertAlign w:val="baseline"/>
          <w:rtl w:val="0"/>
        </w:rPr>
        <w:t xml:space="preserve">moeror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34"/>
          <w:szCs w:val="34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5f5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5f500"/>
          <w:sz w:val="40"/>
          <w:szCs w:val="40"/>
          <w:u w:val="none"/>
          <w:shd w:fill="auto" w:val="clear"/>
          <w:vertAlign w:val="baseline"/>
          <w:rtl w:val="0"/>
        </w:rPr>
        <w:t xml:space="preserve">4. Tipos societários mais comuns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34"/>
          <w:szCs w:val="34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232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23200"/>
          <w:sz w:val="34"/>
          <w:szCs w:val="34"/>
          <w:u w:val="none"/>
          <w:shd w:fill="auto" w:val="clear"/>
          <w:vertAlign w:val="baseline"/>
          <w:rtl w:val="0"/>
        </w:rPr>
        <w:t xml:space="preserve">4.1.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4"/>
          <w:szCs w:val="34"/>
          <w:u w:val="none"/>
          <w:shd w:fill="auto" w:val="clear"/>
          <w:vertAlign w:val="baseline"/>
          <w:rtl w:val="0"/>
        </w:rPr>
        <w:t xml:space="preserve">Determinantes estratégicas da escolha do tipo societário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34"/>
          <w:szCs w:val="34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60.68965517241379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A escolha do tipo jurídico em específico está diretamente ligada ao perfil das pessoas ligadas ao trabalho e às características do patrimônio analisado.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2"/>
          <w:szCs w:val="32"/>
          <w:u w:val="none"/>
          <w:shd w:fill="auto" w:val="clear"/>
          <w:vertAlign w:val="baseline"/>
          <w:rtl w:val="0"/>
        </w:rPr>
        <w:t xml:space="preserve">4.1.1. Sociedade Simples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34"/>
          <w:szCs w:val="34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4.1.2. Sociedade Limitada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4.1.2.1. A regência complementar das normas relativas às sociedades * simples e a regência supletiva pelas normas das sociedades por ações *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4"/>
          <w:szCs w:val="34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1.03448275862069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2"/>
          <w:szCs w:val="32"/>
          <w:u w:val="none"/>
          <w:shd w:fill="auto" w:val="clear"/>
          <w:vertAlign w:val="baseline"/>
          <w:rtl w:val="0"/>
        </w:rPr>
        <w:t xml:space="preserve">Conforme preconiza o artigo 1.053 do Código Civil, a sociedade limitada será em regra regida subsidiariamente pelas normas da sociedade simples, salvo nas situações em que o Contrato Social da referida sociedade explicitar que a legislação supletiva das omissões do contrato será a lei das sociedades anônimas (Lei n.° 6.404/76).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34"/>
          <w:szCs w:val="34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4"/>
          <w:szCs w:val="34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44"/>
          <w:szCs w:val="44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