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8.775510204081634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6"/>
          <w:szCs w:val="36"/>
          <w:u w:val="none"/>
          <w:shd w:fill="auto" w:val="clear"/>
          <w:vertAlign w:val="baseline"/>
          <w:rtl w:val="0"/>
        </w:rPr>
        <w:t xml:space="preserve">3. As estruturas societárias como instrumentos de organização patrimonial e sucessória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3.1.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Aspectos gerais e motivações fiscais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Com a utilização de sociedades, é possível proteger o patrimônio, personalizar a sua gestão, gerar eficiência fiscal na sua exploração, planejar a sucessão, dentre outras vantagens.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4.08163265306122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 objetivo principal, portanto, pode ser resumido na separação, ou pelo menos afastamento, do patrimônio familiar do risco, com governança, eficiência fiscal e sucessória.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40"/>
          <w:szCs w:val="40"/>
          <w:u w:val="none"/>
          <w:shd w:fill="auto" w:val="clear"/>
          <w:vertAlign w:val="baseline"/>
          <w:rtl w:val="0"/>
        </w:rPr>
        <w:t xml:space="preserve">Quadro comparativo sobre a tributação da Pessoa Física e da Holding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Renda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Pessoa física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0"/>
          <w:szCs w:val="20"/>
          <w:u w:val="none"/>
          <w:shd w:fill="auto" w:val="clear"/>
          <w:vertAlign w:val="baseline"/>
          <w:rtl w:val="0"/>
        </w:rPr>
        <w:t xml:space="preserve">Holding Lucro presumido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Dividendo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Isento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Isento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Locação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Tabela progressiva Máximo: 27,5%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Base: 11,33% Máximo: 14,53%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Venda (estoque)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6,73%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 partir de 15% sobre 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ganho de capital (averiguar benefícios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fiscais)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Venda (imobilizado)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IRPJ e CSLL sobre ganho de capital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Máximo: 34%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Aplicação financeira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15% à 22% (depende do tipo de investimento)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34%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40"/>
          <w:szCs w:val="40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