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36"/>
          <w:szCs w:val="36"/>
          <w:u w:val="none"/>
          <w:shd w:fill="auto" w:val="clear"/>
          <w:vertAlign w:val="baseline"/>
          <w:rtl w:val="0"/>
        </w:rPr>
        <w:t xml:space="preserve">Conteúdo Programático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5. A transferência dos bens para a Holding Familiar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5.1. A integralização do capital social mediante a conferência e bens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87.2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5.1.1. A tributação incidente 5.2. Outras formas de transmissão de bens para a Holding Familiar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6. A transferência de quotas ou ações no âmbito da organização patrimonial e sucessória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Doação de quotas ou ações 6.2. Alienação de quotas ou ações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72.8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Usufruto e nua-propriedade de participações societárias 6.4. Aspectos fiscais (ITCMD e IR)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9.6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6.4.1. O entendimento da Fazenda e dos tribunais: exame de decisões administrativas e judiciais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82.39999999999998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WN a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Conteúdo Programático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9.2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acordos parassociais no âmbito da Holding Familiar: espécies 7.1. Acordo de quotistas/acionistas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8.799999999999997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7.1.2. Eleição dos integrantes dos órgãos sociais 7.1.3. Alienação de quotas ou ações 7.1.4. Direito de preferência, primeira oferta e primeira recusa 7.1.5. Tag along 7.1.6. Drag along 7.1.7. Solução de conflitos O protocolo ou pacto de família 7.2.1. Regras introdutórias, escopo e interpretação das suas condições 7.2.2. Os conselhos auxiliares 7.2.3. Family offices 7.2.4. Política de divisão de poder 7.2.5. O trabalhos dos integrantes da família na(s) empresa(s)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7.2.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 Jurídica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