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493947AF" w:rsidR="00DE358C" w:rsidRPr="00835ED0" w:rsidRDefault="00835ED0" w:rsidP="00835ED0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Ex-empregado,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86D" w14:textId="77777777" w:rsidR="006A3ECE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2C1954D" w14:textId="076B2644" w:rsidR="00DE358C" w:rsidRDefault="00D35446" w:rsidP="0057322B">
            <w:pPr>
              <w:pStyle w:val="BNDES"/>
              <w:jc w:val="left"/>
            </w:pPr>
            <w:r>
              <w:t>Políticas Públicas</w:t>
            </w:r>
          </w:p>
          <w:p w14:paraId="662B80B1" w14:textId="7B39C82E" w:rsidR="003804A2" w:rsidRPr="00727089" w:rsidRDefault="003804A2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66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10BDA2B4" w:rsidR="003804A2" w:rsidRPr="00727089" w:rsidRDefault="00D3544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Microempreendedor Individual</w:t>
            </w:r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Instrutoria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BD" w14:textId="015E1ED4" w:rsidR="00AF634F" w:rsidRDefault="00AF634F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D15E0B" w14:textId="424595F0" w:rsidR="00E46447" w:rsidRDefault="00D35446" w:rsidP="00F97DEB">
            <w:pPr>
              <w:pStyle w:val="BNDES"/>
            </w:pPr>
            <w:r>
              <w:t>Consultoria quanto às políticas públicas aplicadas ao Microempreendedor Individual (MEI), referente aos benefícios tributários e programas governamentais específicos para o MEI; Benefícios e privilégios nas compras governamentais, além de programas de apoio e desenvolvimento destas sociedades em incubadoras, programas governamentais de modernização e treinamentos disponíveis para fins de modernização, da garantia de emprego e a renda das micros e pequenas empresas. Consultoria na constituição, manutenção quantos aos limites de compras e vendas, contribuição mensal e suas vedações, além das dispensa e/ou cobrança simbólica de tributos estaduais e municipais Consultoria na formação de consorcio entre MEI, Micros e Pequenas empresas para atendimento de licitações e/ou desenvolvimento de determinada cadeia produtiva ou de um produto especifico. Consultoria quanto da dispensa inicial na constituição do MEI, e posteriormente da necessidade de obtenção de Licença Sanitária (Alvará Sanitário), Licença Ambiental e Licença para Prevenção de Incêndio e Pânico (Alvará dos Bombeiros). Consultoria na elaboração e juntada dos documentos necessários para aprovação de processo para expedição das referidas licenças, quanto a necessidade ou não de projeto de adequação de obra física, projetos arquitetônicos e projetos de prevenção de incêndio e pânicos nos órgãos públicos pertinentes.</w:t>
            </w:r>
          </w:p>
          <w:p w14:paraId="5F2DC8DD" w14:textId="77777777" w:rsidR="00E46447" w:rsidRPr="00727089" w:rsidRDefault="00E46447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5E6A1F88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835ED0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1CF97F08" w14:textId="52D4533E" w:rsidR="00DF6CDD" w:rsidRPr="00727089" w:rsidRDefault="00835ED0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46719161" w:rsidR="00DF6CDD" w:rsidRPr="00727089" w:rsidRDefault="00835ED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  <w:bookmarkStart w:id="1" w:name="_GoBack"/>
            <w:bookmarkEnd w:id="1"/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19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AE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544DEE54" w14:textId="77777777" w:rsidR="00835ED0" w:rsidRDefault="00835ED0" w:rsidP="00835ED0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4F21BE67" wp14:editId="5C924285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D0214" w14:textId="77777777" w:rsidR="00835ED0" w:rsidRDefault="00835ED0" w:rsidP="00835ED0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0A0592E2" w14:textId="77777777" w:rsidR="00835ED0" w:rsidRDefault="00835ED0" w:rsidP="00835ED0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12E0A4DF" w14:textId="77777777" w:rsidR="00835ED0" w:rsidRPr="00727089" w:rsidRDefault="00835ED0" w:rsidP="00835ED0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101CA8"/>
    <w:rsid w:val="00302FDB"/>
    <w:rsid w:val="003804A2"/>
    <w:rsid w:val="003C46AB"/>
    <w:rsid w:val="00401582"/>
    <w:rsid w:val="00446D2A"/>
    <w:rsid w:val="0057322B"/>
    <w:rsid w:val="005A69DD"/>
    <w:rsid w:val="0064664D"/>
    <w:rsid w:val="006A3ECE"/>
    <w:rsid w:val="007117CD"/>
    <w:rsid w:val="007B2A50"/>
    <w:rsid w:val="007D377F"/>
    <w:rsid w:val="00835ED0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35446"/>
    <w:rsid w:val="00D70592"/>
    <w:rsid w:val="00DE358C"/>
    <w:rsid w:val="00DF6CDD"/>
    <w:rsid w:val="00E13E13"/>
    <w:rsid w:val="00E46447"/>
    <w:rsid w:val="00EA00E5"/>
    <w:rsid w:val="00F96A70"/>
    <w:rsid w:val="00F97DEB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835ED0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835ED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23</cp:revision>
  <cp:lastPrinted>2020-10-11T14:40:00Z</cp:lastPrinted>
  <dcterms:created xsi:type="dcterms:W3CDTF">2021-09-29T14:49:00Z</dcterms:created>
  <dcterms:modified xsi:type="dcterms:W3CDTF">2021-10-01T10:22:00Z</dcterms:modified>
</cp:coreProperties>
</file>