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46804103" w:rsidR="00DE358C" w:rsidRPr="002376AB" w:rsidRDefault="002376AB" w:rsidP="002376AB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FA2" w14:textId="30C790AB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305BF2B" w14:textId="3B21AFE4" w:rsidR="00944DDB" w:rsidRPr="00727089" w:rsidRDefault="00AF634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gramStart"/>
            <w:r>
              <w:t>Finanças, Contabilidade e Serviços Financeiros</w:t>
            </w:r>
            <w:proofErr w:type="gramEnd"/>
          </w:p>
          <w:p w14:paraId="662B80B1" w14:textId="438046A4" w:rsidR="00DE358C" w:rsidRPr="00727089" w:rsidRDefault="00DE358C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426" w14:textId="1DE71F23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1FF60AD0" w:rsidR="00DE358C" w:rsidRPr="00727089" w:rsidRDefault="00AF634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Sistema de Garantia de Crédito</w:t>
            </w:r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Instrutoria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A3E" w14:textId="77CFAEE5" w:rsidR="00DE358C" w:rsidRDefault="00AF634F" w:rsidP="002376AB">
            <w:pPr>
              <w:pStyle w:val="BNDES"/>
            </w:pPr>
            <w:r>
              <w:t>Relato Sumarizado de Consultoria em gestão econômica e financeiros, na fase de abertura de MEI – Microempreendedor Individual, posteriormente consultoria na viabilidade econômica, financeira e tributária na transformação de MEI, para EIRELI, projetando os cenários, públicos e meios de sedimentar os negócio</w:t>
            </w:r>
            <w:bookmarkStart w:id="1" w:name="_GoBack"/>
            <w:bookmarkEnd w:id="1"/>
            <w:r>
              <w:t>s nessa nova modalidade de sociedade. Consultoria na captação de recursos, emprego do capital social existente, linha de créditos especificas para alavancagem na comercialização de novos produtos e serviços.</w:t>
            </w:r>
          </w:p>
          <w:p w14:paraId="75756EBD" w14:textId="061FE976" w:rsidR="00AF634F" w:rsidRPr="00727089" w:rsidRDefault="00AF634F" w:rsidP="002376A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  <w:r>
              <w:t xml:space="preserve">Consultoria na implantação de sistema de informação, de gestão financeira e fiscal mais adequado a atividade desenvolvida. Consultoria e Orientação quanto aquisição de seguros caminhão e da sede da sociedade; Consultoria quanto sistema de cooperativismo financeiro, na busca de melhores custos financeiros e taxa de juros na captação de recursos </w:t>
            </w:r>
            <w:proofErr w:type="gramStart"/>
            <w:r>
              <w:t>pra</w:t>
            </w:r>
            <w:proofErr w:type="gramEnd"/>
            <w:r>
              <w:t xml:space="preserve"> financiar aquisição de mercadorias para revenda PARA atendimento de licitação junto a entidade públicas e autarquias.</w:t>
            </w: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086C3B0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2376AB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4D2F8B80" w14:textId="77777777" w:rsidR="002376AB" w:rsidRDefault="002376AB" w:rsidP="002376AB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1B9904D1" wp14:editId="585A9426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077A3A" w14:textId="77777777" w:rsidR="002376AB" w:rsidRDefault="002376AB" w:rsidP="002376AB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1DE8DCE9" w14:textId="77777777" w:rsidR="002376AB" w:rsidRDefault="002376AB" w:rsidP="002376AB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096FA852" w14:textId="77777777" w:rsidR="002376AB" w:rsidRPr="00727089" w:rsidRDefault="002376AB" w:rsidP="002376AB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2376AB"/>
    <w:rsid w:val="00302FDB"/>
    <w:rsid w:val="003C46AB"/>
    <w:rsid w:val="00401582"/>
    <w:rsid w:val="00446D2A"/>
    <w:rsid w:val="0057322B"/>
    <w:rsid w:val="0064664D"/>
    <w:rsid w:val="007117CD"/>
    <w:rsid w:val="007B2A50"/>
    <w:rsid w:val="007D377F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70592"/>
    <w:rsid w:val="00DE358C"/>
    <w:rsid w:val="00DF6CDD"/>
    <w:rsid w:val="00E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2376AB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2376A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13</cp:revision>
  <cp:lastPrinted>2020-10-11T14:40:00Z</cp:lastPrinted>
  <dcterms:created xsi:type="dcterms:W3CDTF">2021-09-29T14:49:00Z</dcterms:created>
  <dcterms:modified xsi:type="dcterms:W3CDTF">2021-09-30T19:54:00Z</dcterms:modified>
</cp:coreProperties>
</file>